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98"/>
        <w:gridCol w:w="238"/>
        <w:gridCol w:w="507"/>
        <w:gridCol w:w="133"/>
        <w:gridCol w:w="200"/>
        <w:gridCol w:w="3895"/>
        <w:gridCol w:w="93"/>
      </w:tblGrid>
      <w:tr w:rsidR="00495ADE" w14:paraId="11AF6195" w14:textId="77777777" w:rsidTr="00495ADE">
        <w:tc>
          <w:tcPr>
            <w:tcW w:w="5103" w:type="dxa"/>
          </w:tcPr>
          <w:p w14:paraId="4C958642" w14:textId="79C70EA2" w:rsidR="00495ADE" w:rsidRDefault="00495ADE" w:rsidP="009143EB">
            <w:pPr>
              <w:jc w:val="center"/>
              <w:rPr>
                <w:rFonts w:ascii="Times New Roman" w:hAnsi="Times New Roman" w:cs="Times New Roman"/>
              </w:rPr>
            </w:pPr>
            <w:r>
              <w:rPr>
                <w:rFonts w:ascii="Times New Roman" w:hAnsi="Times New Roman" w:cs="Times New Roman"/>
                <w:noProof/>
              </w:rPr>
              <w:drawing>
                <wp:inline distT="0" distB="0" distL="0" distR="0" wp14:anchorId="1F6ED622" wp14:editId="20F914BC">
                  <wp:extent cx="3051018" cy="63942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904" cy="648198"/>
                          </a:xfrm>
                          <a:prstGeom prst="rect">
                            <a:avLst/>
                          </a:prstGeom>
                          <a:noFill/>
                        </pic:spPr>
                      </pic:pic>
                    </a:graphicData>
                  </a:graphic>
                </wp:inline>
              </w:drawing>
            </w:r>
          </w:p>
        </w:tc>
        <w:tc>
          <w:tcPr>
            <w:tcW w:w="398" w:type="dxa"/>
          </w:tcPr>
          <w:p w14:paraId="1F4C648D" w14:textId="77777777" w:rsidR="00495ADE" w:rsidRDefault="00495ADE">
            <w:pPr>
              <w:rPr>
                <w:rFonts w:ascii="Times New Roman" w:hAnsi="Times New Roman" w:cs="Times New Roman"/>
              </w:rPr>
            </w:pPr>
          </w:p>
        </w:tc>
        <w:tc>
          <w:tcPr>
            <w:tcW w:w="238" w:type="dxa"/>
          </w:tcPr>
          <w:p w14:paraId="3AA64857" w14:textId="77777777" w:rsidR="00495ADE" w:rsidRPr="00584D13" w:rsidRDefault="00495ADE" w:rsidP="009143EB">
            <w:pPr>
              <w:jc w:val="center"/>
              <w:rPr>
                <w:noProof/>
              </w:rPr>
            </w:pPr>
          </w:p>
        </w:tc>
        <w:tc>
          <w:tcPr>
            <w:tcW w:w="4828" w:type="dxa"/>
            <w:gridSpan w:val="5"/>
          </w:tcPr>
          <w:p w14:paraId="50BA2F24" w14:textId="453C1373" w:rsidR="00495ADE" w:rsidRDefault="00495ADE" w:rsidP="00495ADE">
            <w:pPr>
              <w:rPr>
                <w:rFonts w:ascii="Times New Roman" w:hAnsi="Times New Roman" w:cs="Times New Roman"/>
              </w:rPr>
            </w:pPr>
            <w:r w:rsidRPr="00584D13">
              <w:rPr>
                <w:noProof/>
              </w:rPr>
              <w:drawing>
                <wp:inline distT="0" distB="0" distL="0" distR="0" wp14:anchorId="2CC2F9D8" wp14:editId="6945189F">
                  <wp:extent cx="3069124" cy="58975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935" cy="610662"/>
                          </a:xfrm>
                          <a:prstGeom prst="rect">
                            <a:avLst/>
                          </a:prstGeom>
                          <a:noFill/>
                          <a:ln>
                            <a:noFill/>
                          </a:ln>
                        </pic:spPr>
                      </pic:pic>
                    </a:graphicData>
                  </a:graphic>
                </wp:inline>
              </w:drawing>
            </w:r>
          </w:p>
        </w:tc>
      </w:tr>
      <w:tr w:rsidR="00495ADE" w:rsidRPr="00717728" w14:paraId="065D64B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4"/>
            <w:tcBorders>
              <w:top w:val="nil"/>
              <w:left w:val="nil"/>
              <w:bottom w:val="nil"/>
              <w:right w:val="nil"/>
            </w:tcBorders>
            <w:vAlign w:val="center"/>
          </w:tcPr>
          <w:p w14:paraId="6E38DE4D" w14:textId="37E3FE19" w:rsidR="00495ADE" w:rsidRDefault="00495ADE" w:rsidP="00D71FA1">
            <w:pPr>
              <w:pStyle w:val="TOCHeading"/>
              <w:spacing w:before="0" w:after="120"/>
              <w:contextualSpacing/>
              <w:jc w:val="center"/>
              <w:rPr>
                <w:rFonts w:ascii="Times New Roman" w:eastAsia="Times New Roman" w:hAnsi="Times New Roman" w:cs="Times New Roman"/>
                <w:b/>
                <w:bCs/>
                <w:color w:val="auto"/>
                <w:sz w:val="28"/>
                <w:szCs w:val="28"/>
                <w:lang w:val="en-GB"/>
              </w:rPr>
            </w:pPr>
          </w:p>
          <w:p w14:paraId="4097C6A5" w14:textId="77777777" w:rsidR="00495ADE" w:rsidRPr="00495ADE" w:rsidRDefault="00495ADE" w:rsidP="00495ADE">
            <w:pPr>
              <w:rPr>
                <w:lang w:val="en-GB"/>
              </w:rPr>
            </w:pPr>
          </w:p>
          <w:p w14:paraId="06BB26A5" w14:textId="09932D2D" w:rsidR="00495ADE" w:rsidRPr="00717728" w:rsidRDefault="00495ADE" w:rsidP="00D71FA1">
            <w:pPr>
              <w:pStyle w:val="TOCHeading"/>
              <w:spacing w:before="0" w:after="120"/>
              <w:contextualSpacing/>
              <w:jc w:val="center"/>
              <w:rPr>
                <w:rFonts w:ascii="Times New Roman" w:eastAsia="Times New Roman" w:hAnsi="Times New Roman" w:cs="Times New Roman"/>
                <w:b/>
                <w:bCs/>
                <w:color w:val="auto"/>
                <w:sz w:val="28"/>
                <w:szCs w:val="28"/>
                <w:lang w:val="en-GB"/>
              </w:rPr>
            </w:pPr>
            <w:r w:rsidRPr="00717728">
              <w:rPr>
                <w:rFonts w:ascii="Times New Roman" w:eastAsia="Times New Roman" w:hAnsi="Times New Roman" w:cs="Times New Roman"/>
                <w:b/>
                <w:bCs/>
                <w:color w:val="auto"/>
                <w:sz w:val="28"/>
                <w:szCs w:val="28"/>
                <w:lang w:val="en-GB"/>
              </w:rPr>
              <w:t>Ենթադրամաշնորհի պայամանգիր</w:t>
            </w:r>
          </w:p>
          <w:p w14:paraId="54C633A0" w14:textId="77777777" w:rsidR="00495ADE" w:rsidRPr="00717728" w:rsidRDefault="00495ADE" w:rsidP="00D71FA1">
            <w:pPr>
              <w:jc w:val="center"/>
              <w:rPr>
                <w:rFonts w:ascii="Times New Roman" w:hAnsi="Times New Roman" w:cs="Times New Roman"/>
              </w:rPr>
            </w:pPr>
          </w:p>
          <w:p w14:paraId="27409037" w14:textId="77777777" w:rsidR="00495ADE" w:rsidRDefault="00495ADE" w:rsidP="009143EB">
            <w:pPr>
              <w:jc w:val="center"/>
              <w:rPr>
                <w:rFonts w:ascii="Times New Roman" w:hAnsi="Times New Roman" w:cs="Times New Roman"/>
              </w:rPr>
            </w:pPr>
            <w:r w:rsidRPr="00717728">
              <w:rPr>
                <w:rFonts w:ascii="Times New Roman" w:hAnsi="Times New Roman" w:cs="Times New Roman"/>
              </w:rPr>
              <w:t xml:space="preserve">Պայմանագիրը ֆինանսավորվում է ԵՄ </w:t>
            </w:r>
            <w:r>
              <w:rPr>
                <w:rFonts w:ascii="Times New Roman" w:hAnsi="Times New Roman" w:cs="Times New Roman"/>
              </w:rPr>
              <w:t>համա</w:t>
            </w:r>
            <w:r w:rsidRPr="00717728">
              <w:rPr>
                <w:rFonts w:ascii="Times New Roman" w:hAnsi="Times New Roman" w:cs="Times New Roman"/>
              </w:rPr>
              <w:t xml:space="preserve">ֆինանսավորմամբ իրականացվող «Երևան, Վարշավա, Տիրանա մայրաքաղաքների </w:t>
            </w:r>
            <w:r w:rsidRPr="009143EB">
              <w:rPr>
                <w:rFonts w:ascii="Times New Roman" w:hAnsi="Times New Roman" w:cs="Times New Roman"/>
              </w:rPr>
              <w:t>համագործակցությունը վտանգավոր թափոնների կառավարման ընդհանուր մարտահրավերների շուրջ» ծրագրի շրջանակներում (NEAR-TS/2019/412-</w:t>
            </w:r>
            <w:r>
              <w:rPr>
                <w:rFonts w:ascii="Times New Roman" w:hAnsi="Times New Roman" w:cs="Times New Roman"/>
              </w:rPr>
              <w:t>943)</w:t>
            </w:r>
          </w:p>
          <w:p w14:paraId="44F79F18" w14:textId="7BAC9798" w:rsidR="00495ADE" w:rsidRPr="009143EB" w:rsidRDefault="00495ADE" w:rsidP="009143EB">
            <w:pPr>
              <w:jc w:val="center"/>
              <w:rPr>
                <w:rFonts w:ascii="Times New Roman" w:hAnsi="Times New Roman" w:cs="Times New Roman"/>
              </w:rPr>
            </w:pPr>
          </w:p>
        </w:tc>
        <w:tc>
          <w:tcPr>
            <w:tcW w:w="333" w:type="dxa"/>
            <w:gridSpan w:val="2"/>
            <w:tcBorders>
              <w:top w:val="nil"/>
              <w:left w:val="nil"/>
              <w:bottom w:val="nil"/>
              <w:right w:val="nil"/>
            </w:tcBorders>
          </w:tcPr>
          <w:p w14:paraId="5224AF23" w14:textId="77777777" w:rsidR="00495ADE" w:rsidRPr="00717728" w:rsidRDefault="00495ADE" w:rsidP="00D71FA1">
            <w:pPr>
              <w:pStyle w:val="TOCHeading"/>
              <w:spacing w:before="0" w:after="120"/>
              <w:contextualSpacing/>
              <w:jc w:val="center"/>
              <w:rPr>
                <w:rFonts w:ascii="Times New Roman" w:eastAsia="Times New Roman" w:hAnsi="Times New Roman" w:cs="Times New Roman"/>
                <w:b/>
                <w:bCs/>
                <w:color w:val="auto"/>
                <w:sz w:val="28"/>
                <w:szCs w:val="28"/>
                <w:lang w:val="en-GB"/>
              </w:rPr>
            </w:pPr>
          </w:p>
        </w:tc>
        <w:tc>
          <w:tcPr>
            <w:tcW w:w="3895" w:type="dxa"/>
            <w:tcBorders>
              <w:top w:val="nil"/>
              <w:left w:val="nil"/>
              <w:bottom w:val="nil"/>
              <w:right w:val="nil"/>
            </w:tcBorders>
            <w:vAlign w:val="center"/>
          </w:tcPr>
          <w:p w14:paraId="5757B572" w14:textId="18320634" w:rsidR="00495ADE" w:rsidRPr="00717728" w:rsidRDefault="00495ADE" w:rsidP="00D71FA1">
            <w:pPr>
              <w:pStyle w:val="TOCHeading"/>
              <w:spacing w:before="0" w:after="120"/>
              <w:contextualSpacing/>
              <w:jc w:val="center"/>
              <w:rPr>
                <w:rFonts w:ascii="Times New Roman" w:eastAsia="Times New Roman" w:hAnsi="Times New Roman" w:cs="Times New Roman"/>
                <w:b/>
                <w:bCs/>
                <w:color w:val="auto"/>
                <w:sz w:val="28"/>
                <w:szCs w:val="28"/>
                <w:lang w:val="en-GB"/>
              </w:rPr>
            </w:pPr>
            <w:r w:rsidRPr="00717728">
              <w:rPr>
                <w:rFonts w:ascii="Times New Roman" w:eastAsia="Times New Roman" w:hAnsi="Times New Roman" w:cs="Times New Roman"/>
                <w:b/>
                <w:bCs/>
                <w:color w:val="auto"/>
                <w:sz w:val="28"/>
                <w:szCs w:val="28"/>
                <w:lang w:val="en-GB"/>
              </w:rPr>
              <w:t>Subgrant Contract</w:t>
            </w:r>
          </w:p>
          <w:p w14:paraId="5AD8C6BB" w14:textId="77777777" w:rsidR="00495ADE" w:rsidRPr="00717728" w:rsidRDefault="00495ADE" w:rsidP="00D71FA1">
            <w:pPr>
              <w:jc w:val="center"/>
              <w:rPr>
                <w:rFonts w:ascii="Times New Roman" w:hAnsi="Times New Roman" w:cs="Times New Roman"/>
              </w:rPr>
            </w:pPr>
          </w:p>
          <w:p w14:paraId="3CF461EC" w14:textId="7811E111" w:rsidR="00495ADE" w:rsidRPr="009143EB" w:rsidRDefault="00495ADE" w:rsidP="009143EB">
            <w:pPr>
              <w:tabs>
                <w:tab w:val="left" w:pos="6237"/>
              </w:tabs>
              <w:spacing w:before="60" w:after="60" w:line="240" w:lineRule="auto"/>
              <w:jc w:val="center"/>
              <w:rPr>
                <w:rFonts w:ascii="Times New Roman" w:hAnsi="Times New Roman" w:cs="Times New Roman"/>
              </w:rPr>
            </w:pPr>
            <w:r w:rsidRPr="00717728">
              <w:rPr>
                <w:rFonts w:ascii="Times New Roman" w:hAnsi="Times New Roman" w:cs="Times New Roman"/>
              </w:rPr>
              <w:t>This Contract is financed under the EU-</w:t>
            </w:r>
            <w:r>
              <w:rPr>
                <w:rFonts w:ascii="Times New Roman" w:hAnsi="Times New Roman" w:cs="Times New Roman"/>
              </w:rPr>
              <w:t>co-</w:t>
            </w:r>
            <w:r w:rsidRPr="00717728">
              <w:rPr>
                <w:rFonts w:ascii="Times New Roman" w:hAnsi="Times New Roman" w:cs="Times New Roman"/>
              </w:rPr>
              <w:t>funde</w:t>
            </w:r>
            <w:r>
              <w:rPr>
                <w:rFonts w:ascii="Times New Roman" w:hAnsi="Times New Roman" w:cs="Times New Roman"/>
              </w:rPr>
              <w:t>d</w:t>
            </w:r>
            <w:r w:rsidRPr="00717728">
              <w:rPr>
                <w:rFonts w:ascii="Times New Roman" w:hAnsi="Times New Roman" w:cs="Times New Roman"/>
              </w:rPr>
              <w:t xml:space="preserve"> project ‘Capital Cities Collaborating on Common Challenges in Hazardous Waste Management-Yerevan, Warsaw, Tirana’ (NEAR-TS/2019/412-943)</w:t>
            </w:r>
          </w:p>
        </w:tc>
      </w:tr>
      <w:tr w:rsidR="00495ADE" w:rsidRPr="00717728" w14:paraId="32180336"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4"/>
            <w:tcBorders>
              <w:top w:val="nil"/>
              <w:left w:val="nil"/>
              <w:bottom w:val="nil"/>
              <w:right w:val="nil"/>
            </w:tcBorders>
            <w:vAlign w:val="center"/>
          </w:tcPr>
          <w:p w14:paraId="4B5DE3F2" w14:textId="77777777" w:rsidR="00495ADE" w:rsidRPr="00717728" w:rsidRDefault="00495ADE" w:rsidP="00717728">
            <w:pPr>
              <w:pageBreakBefore/>
              <w:spacing w:after="120" w:line="256" w:lineRule="auto"/>
              <w:contextualSpacing/>
              <w:jc w:val="center"/>
              <w:rPr>
                <w:rFonts w:ascii="Times New Roman" w:hAnsi="Times New Roman" w:cs="Times New Roman"/>
                <w:b/>
                <w:sz w:val="28"/>
                <w:szCs w:val="28"/>
              </w:rPr>
            </w:pPr>
            <w:r w:rsidRPr="00717728">
              <w:rPr>
                <w:rFonts w:ascii="Times New Roman" w:hAnsi="Times New Roman" w:cs="Times New Roman"/>
                <w:b/>
                <w:sz w:val="28"/>
                <w:szCs w:val="28"/>
              </w:rPr>
              <w:lastRenderedPageBreak/>
              <w:t xml:space="preserve">ԵՆԹԱԴՐԱՄԱՇՆՈՐՀԻ ՊԱՅՄԱՆԱԳԻՐ </w:t>
            </w:r>
          </w:p>
          <w:p w14:paraId="6BFEAAA1" w14:textId="77777777" w:rsidR="00495ADE" w:rsidRPr="00717728" w:rsidRDefault="00495ADE" w:rsidP="00717728">
            <w:pPr>
              <w:pStyle w:val="Text2"/>
              <w:tabs>
                <w:tab w:val="left" w:pos="-1701"/>
                <w:tab w:val="left" w:pos="-1560"/>
              </w:tabs>
              <w:spacing w:after="120" w:line="256" w:lineRule="auto"/>
              <w:ind w:left="0"/>
              <w:contextualSpacing/>
              <w:jc w:val="center"/>
              <w:rPr>
                <w:i/>
                <w:sz w:val="22"/>
              </w:rPr>
            </w:pPr>
            <w:r w:rsidRPr="00717728">
              <w:rPr>
                <w:b/>
                <w:sz w:val="22"/>
              </w:rPr>
              <w:t>No.&lt;</w:t>
            </w:r>
            <w:r w:rsidRPr="00717728">
              <w:rPr>
                <w:sz w:val="22"/>
                <w:highlight w:val="yellow"/>
              </w:rPr>
              <w:t xml:space="preserve"> պայմանագրի նույնականացման համարը</w:t>
            </w:r>
            <w:r w:rsidRPr="00717728">
              <w:rPr>
                <w:i/>
                <w:sz w:val="22"/>
              </w:rPr>
              <w:t xml:space="preserve"> &gt;</w:t>
            </w:r>
          </w:p>
          <w:p w14:paraId="23E4DC06" w14:textId="77777777" w:rsidR="00495ADE" w:rsidRPr="00717728" w:rsidRDefault="00495ADE" w:rsidP="00717728">
            <w:pPr>
              <w:pStyle w:val="Text2"/>
              <w:tabs>
                <w:tab w:val="left" w:pos="-1701"/>
                <w:tab w:val="left" w:pos="-1560"/>
              </w:tabs>
              <w:spacing w:after="120" w:line="256" w:lineRule="auto"/>
              <w:ind w:left="0"/>
              <w:contextualSpacing/>
              <w:jc w:val="center"/>
              <w:rPr>
                <w:sz w:val="22"/>
              </w:rPr>
            </w:pPr>
            <w:r w:rsidRPr="00717728">
              <w:rPr>
                <w:sz w:val="22"/>
              </w:rPr>
              <w:t>(այսուհետ՝ Պայմանագիր)</w:t>
            </w:r>
          </w:p>
          <w:p w14:paraId="5DA78C77" w14:textId="77777777" w:rsidR="00495ADE" w:rsidRPr="00717728" w:rsidRDefault="00495ADE" w:rsidP="002B5AAC">
            <w:pPr>
              <w:pageBreakBefore/>
              <w:spacing w:after="120" w:line="256" w:lineRule="auto"/>
              <w:contextualSpacing/>
              <w:jc w:val="center"/>
              <w:rPr>
                <w:rFonts w:ascii="Times New Roman" w:hAnsi="Times New Roman" w:cs="Times New Roman"/>
                <w:sz w:val="28"/>
                <w:szCs w:val="28"/>
              </w:rPr>
            </w:pPr>
          </w:p>
        </w:tc>
        <w:tc>
          <w:tcPr>
            <w:tcW w:w="333" w:type="dxa"/>
            <w:gridSpan w:val="2"/>
            <w:tcBorders>
              <w:top w:val="nil"/>
              <w:left w:val="nil"/>
              <w:bottom w:val="nil"/>
              <w:right w:val="nil"/>
            </w:tcBorders>
          </w:tcPr>
          <w:p w14:paraId="483096A2" w14:textId="77777777" w:rsidR="00495ADE" w:rsidRPr="00717728" w:rsidRDefault="00495ADE" w:rsidP="00717728">
            <w:pPr>
              <w:pageBreakBefore/>
              <w:spacing w:after="120" w:line="256" w:lineRule="auto"/>
              <w:contextualSpacing/>
              <w:jc w:val="center"/>
              <w:rPr>
                <w:rFonts w:ascii="Times New Roman" w:hAnsi="Times New Roman" w:cs="Times New Roman"/>
                <w:b/>
                <w:sz w:val="28"/>
                <w:szCs w:val="28"/>
              </w:rPr>
            </w:pPr>
          </w:p>
        </w:tc>
        <w:tc>
          <w:tcPr>
            <w:tcW w:w="3895" w:type="dxa"/>
            <w:tcBorders>
              <w:top w:val="nil"/>
              <w:left w:val="nil"/>
              <w:bottom w:val="nil"/>
              <w:right w:val="nil"/>
            </w:tcBorders>
            <w:vAlign w:val="center"/>
          </w:tcPr>
          <w:p w14:paraId="1DD99D7C" w14:textId="645FBF09" w:rsidR="00495ADE" w:rsidRPr="00717728" w:rsidRDefault="00495ADE" w:rsidP="00717728">
            <w:pPr>
              <w:pageBreakBefore/>
              <w:spacing w:after="120" w:line="256" w:lineRule="auto"/>
              <w:contextualSpacing/>
              <w:jc w:val="center"/>
              <w:rPr>
                <w:rFonts w:ascii="Times New Roman" w:hAnsi="Times New Roman" w:cs="Times New Roman"/>
                <w:b/>
                <w:sz w:val="28"/>
                <w:szCs w:val="28"/>
              </w:rPr>
            </w:pPr>
            <w:r w:rsidRPr="00717728">
              <w:rPr>
                <w:rFonts w:ascii="Times New Roman" w:hAnsi="Times New Roman" w:cs="Times New Roman"/>
                <w:b/>
                <w:sz w:val="28"/>
                <w:szCs w:val="28"/>
              </w:rPr>
              <w:t>SUB-GRANT CONTRACT</w:t>
            </w:r>
          </w:p>
          <w:p w14:paraId="407B6694" w14:textId="77777777" w:rsidR="00495ADE" w:rsidRPr="00717728" w:rsidRDefault="00495ADE" w:rsidP="00717728">
            <w:pPr>
              <w:pStyle w:val="Text2"/>
              <w:tabs>
                <w:tab w:val="left" w:pos="-1701"/>
                <w:tab w:val="left" w:pos="-1560"/>
              </w:tabs>
              <w:spacing w:after="120" w:line="256" w:lineRule="auto"/>
              <w:ind w:left="0"/>
              <w:contextualSpacing/>
              <w:jc w:val="center"/>
              <w:rPr>
                <w:i/>
                <w:sz w:val="22"/>
              </w:rPr>
            </w:pPr>
            <w:r w:rsidRPr="00717728">
              <w:rPr>
                <w:b/>
                <w:sz w:val="22"/>
              </w:rPr>
              <w:t>No.&lt;</w:t>
            </w:r>
            <w:r w:rsidRPr="00717728">
              <w:rPr>
                <w:sz w:val="22"/>
                <w:highlight w:val="yellow"/>
              </w:rPr>
              <w:t xml:space="preserve"> contract identification number</w:t>
            </w:r>
            <w:r w:rsidRPr="00717728">
              <w:rPr>
                <w:i/>
                <w:sz w:val="22"/>
              </w:rPr>
              <w:t>&gt;</w:t>
            </w:r>
          </w:p>
          <w:p w14:paraId="591B0F02" w14:textId="77777777" w:rsidR="00495ADE" w:rsidRPr="00717728" w:rsidRDefault="00495ADE" w:rsidP="00717728">
            <w:pPr>
              <w:pStyle w:val="Text2"/>
              <w:tabs>
                <w:tab w:val="left" w:pos="-1701"/>
                <w:tab w:val="left" w:pos="-1560"/>
              </w:tabs>
              <w:spacing w:after="120" w:line="256" w:lineRule="auto"/>
              <w:ind w:left="0"/>
              <w:contextualSpacing/>
              <w:jc w:val="center"/>
              <w:rPr>
                <w:sz w:val="22"/>
              </w:rPr>
            </w:pPr>
            <w:r w:rsidRPr="00717728">
              <w:rPr>
                <w:sz w:val="22"/>
              </w:rPr>
              <w:t>(hereinafter: the ‘Contract’)</w:t>
            </w:r>
          </w:p>
          <w:p w14:paraId="7FC48B11" w14:textId="77777777" w:rsidR="00495ADE" w:rsidRPr="00717728" w:rsidRDefault="00495ADE" w:rsidP="003A7701">
            <w:pPr>
              <w:pageBreakBefore/>
              <w:spacing w:after="120" w:line="256" w:lineRule="auto"/>
              <w:contextualSpacing/>
              <w:jc w:val="center"/>
              <w:rPr>
                <w:rFonts w:ascii="Times New Roman" w:hAnsi="Times New Roman" w:cs="Times New Roman"/>
                <w:sz w:val="28"/>
                <w:szCs w:val="28"/>
              </w:rPr>
            </w:pPr>
          </w:p>
        </w:tc>
      </w:tr>
      <w:tr w:rsidR="00495ADE" w:rsidRPr="00717728" w14:paraId="1335457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4"/>
            <w:tcBorders>
              <w:top w:val="nil"/>
              <w:left w:val="nil"/>
              <w:bottom w:val="nil"/>
              <w:right w:val="nil"/>
            </w:tcBorders>
          </w:tcPr>
          <w:p w14:paraId="0F174A7B" w14:textId="21D901CE" w:rsidR="00495ADE" w:rsidRPr="009143EB" w:rsidRDefault="00495ADE" w:rsidP="009143EB">
            <w:pPr>
              <w:spacing w:after="0"/>
              <w:rPr>
                <w:rFonts w:ascii="Times New Roman" w:hAnsi="Times New Roman" w:cs="Times New Roman"/>
              </w:rPr>
            </w:pPr>
            <w:r w:rsidRPr="00717728">
              <w:rPr>
                <w:rFonts w:ascii="Times New Roman" w:hAnsi="Times New Roman" w:cs="Times New Roman"/>
                <w:b/>
              </w:rPr>
              <w:t>«</w:t>
            </w:r>
            <w:r w:rsidRPr="00AA07B7">
              <w:rPr>
                <w:rFonts w:ascii="Times New Roman" w:hAnsi="Times New Roman" w:cs="Times New Roman"/>
                <w:b/>
              </w:rPr>
              <w:t>Երևանի կառուցապատման ներդրումային ԾԻԳ» ՀՈԱԿ</w:t>
            </w:r>
            <w:r w:rsidRPr="00AA07B7">
              <w:rPr>
                <w:rFonts w:ascii="Times New Roman" w:hAnsi="Times New Roman" w:cs="Times New Roman"/>
                <w:b/>
                <w:bCs/>
              </w:rPr>
              <w:t>-ը</w:t>
            </w:r>
            <w:r w:rsidRPr="00AA07B7">
              <w:rPr>
                <w:rFonts w:ascii="Times New Roman" w:hAnsi="Times New Roman" w:cs="Times New Roman"/>
                <w:bCs/>
              </w:rPr>
              <w:t xml:space="preserve">, որը </w:t>
            </w:r>
            <w:r w:rsidRPr="000941D1">
              <w:rPr>
                <w:rFonts w:ascii="Times New Roman" w:hAnsi="Times New Roman" w:cs="Times New Roman"/>
                <w:bCs/>
              </w:rPr>
              <w:t>գտնվում է Տերյան 44, 3-րդ</w:t>
            </w:r>
            <w:r w:rsidRPr="000941D1">
              <w:rPr>
                <w:rFonts w:ascii="Times New Roman" w:hAnsi="Times New Roman" w:cs="Times New Roman"/>
              </w:rPr>
              <w:t xml:space="preserve"> հարկ հասցեում</w:t>
            </w:r>
            <w:r w:rsidRPr="00AA07B7">
              <w:rPr>
                <w:rFonts w:ascii="Times New Roman" w:hAnsi="Times New Roman" w:cs="Times New Roman"/>
              </w:rPr>
              <w:t xml:space="preserve"> (այսուհետ՝ </w:t>
            </w:r>
            <w:r w:rsidRPr="00AA07B7">
              <w:rPr>
                <w:rFonts w:ascii="Times New Roman" w:hAnsi="Times New Roman" w:cs="Times New Roman"/>
                <w:b/>
              </w:rPr>
              <w:t>Ենթադրամաշնորհատու</w:t>
            </w:r>
            <w:r w:rsidRPr="00717728">
              <w:rPr>
                <w:rFonts w:ascii="Times New Roman" w:hAnsi="Times New Roman" w:cs="Times New Roman"/>
              </w:rPr>
              <w:t xml:space="preserve">), ի դեմս </w:t>
            </w:r>
            <w:r>
              <w:rPr>
                <w:rFonts w:ascii="Times New Roman" w:hAnsi="Times New Roman" w:cs="Times New Roman"/>
              </w:rPr>
              <w:t>տ</w:t>
            </w:r>
            <w:r w:rsidRPr="009143EB">
              <w:rPr>
                <w:rFonts w:ascii="Times New Roman" w:hAnsi="Times New Roman" w:cs="Times New Roman"/>
              </w:rPr>
              <w:t xml:space="preserve">նօրենի տեղակալ-«Երևան, Վարշավա, Տիրանա </w:t>
            </w:r>
          </w:p>
          <w:p w14:paraId="47EC987E" w14:textId="420581B0" w:rsidR="00495ADE" w:rsidRPr="009143EB" w:rsidRDefault="00495ADE" w:rsidP="009143EB">
            <w:pPr>
              <w:spacing w:after="0"/>
              <w:jc w:val="both"/>
              <w:rPr>
                <w:rFonts w:ascii="Times New Roman" w:hAnsi="Times New Roman" w:cs="Times New Roman"/>
                <w:lang w:val="hy-AM"/>
              </w:rPr>
            </w:pPr>
            <w:r w:rsidRPr="009143EB">
              <w:rPr>
                <w:rFonts w:ascii="Times New Roman" w:hAnsi="Times New Roman" w:cs="Times New Roman"/>
              </w:rPr>
              <w:t>մայրաքաղաքների համագործակցությունը վտանգավոր թափոնների կառավարման ընդհանուր մարտահրավերների շուրջ» ծրագրի ղեկավար /ֆինանսական տնօրեն</w:t>
            </w:r>
            <w:r w:rsidRPr="00044D93">
              <w:rPr>
                <w:rFonts w:ascii="GHEA Grapalat" w:hAnsi="GHEA Grapalat"/>
                <w:sz w:val="20"/>
                <w:szCs w:val="20"/>
                <w:lang w:val="hy-AM"/>
              </w:rPr>
              <w:t>/</w:t>
            </w:r>
            <w:r>
              <w:rPr>
                <w:rFonts w:ascii="GHEA Grapalat" w:hAnsi="GHEA Grapalat"/>
                <w:sz w:val="20"/>
                <w:szCs w:val="20"/>
              </w:rPr>
              <w:t xml:space="preserve"> </w:t>
            </w:r>
            <w:r w:rsidRPr="009143EB">
              <w:rPr>
                <w:rFonts w:ascii="Times New Roman" w:hAnsi="Times New Roman" w:cs="Times New Roman"/>
                <w:lang w:val="hy-AM"/>
              </w:rPr>
              <w:t>Սերգեյ Մելիք-Յոլչյանի, մի կողմից</w:t>
            </w:r>
          </w:p>
        </w:tc>
        <w:tc>
          <w:tcPr>
            <w:tcW w:w="333" w:type="dxa"/>
            <w:gridSpan w:val="2"/>
            <w:tcBorders>
              <w:top w:val="nil"/>
              <w:left w:val="nil"/>
              <w:bottom w:val="nil"/>
              <w:right w:val="nil"/>
            </w:tcBorders>
          </w:tcPr>
          <w:p w14:paraId="719DFA17" w14:textId="77777777" w:rsidR="00495ADE" w:rsidRPr="00717728" w:rsidRDefault="00495ADE" w:rsidP="009143EB">
            <w:pPr>
              <w:jc w:val="both"/>
              <w:rPr>
                <w:rFonts w:ascii="Times New Roman" w:hAnsi="Times New Roman" w:cs="Times New Roman"/>
                <w:b/>
                <w:bCs/>
              </w:rPr>
            </w:pPr>
          </w:p>
        </w:tc>
        <w:tc>
          <w:tcPr>
            <w:tcW w:w="3895" w:type="dxa"/>
            <w:tcBorders>
              <w:top w:val="nil"/>
              <w:left w:val="nil"/>
              <w:bottom w:val="nil"/>
              <w:right w:val="nil"/>
            </w:tcBorders>
          </w:tcPr>
          <w:p w14:paraId="3709EF7C" w14:textId="1D859263" w:rsidR="00495ADE" w:rsidRPr="00717728" w:rsidRDefault="00495ADE" w:rsidP="00495ADE">
            <w:pPr>
              <w:jc w:val="both"/>
              <w:rPr>
                <w:rFonts w:ascii="Times New Roman" w:hAnsi="Times New Roman" w:cs="Times New Roman"/>
              </w:rPr>
            </w:pPr>
            <w:r w:rsidRPr="00717728">
              <w:rPr>
                <w:rFonts w:ascii="Times New Roman" w:hAnsi="Times New Roman" w:cs="Times New Roman"/>
                <w:b/>
                <w:bCs/>
              </w:rPr>
              <w:t>Yerevan Municipality ‘IPIU Building Up of Yerevan’ CNCO,</w:t>
            </w:r>
            <w:r w:rsidRPr="00717728">
              <w:rPr>
                <w:rFonts w:ascii="Times New Roman" w:hAnsi="Times New Roman" w:cs="Times New Roman"/>
              </w:rPr>
              <w:t xml:space="preserve"> </w:t>
            </w:r>
            <w:r>
              <w:rPr>
                <w:rFonts w:ascii="Times New Roman" w:hAnsi="Times New Roman" w:cs="Times New Roman"/>
              </w:rPr>
              <w:t>44 Teryan str., 3</w:t>
            </w:r>
            <w:r w:rsidRPr="009143EB">
              <w:rPr>
                <w:rFonts w:ascii="Times New Roman" w:hAnsi="Times New Roman" w:cs="Times New Roman"/>
                <w:vertAlign w:val="superscript"/>
              </w:rPr>
              <w:t>rd</w:t>
            </w:r>
            <w:r>
              <w:rPr>
                <w:rFonts w:ascii="Times New Roman" w:hAnsi="Times New Roman" w:cs="Times New Roman"/>
              </w:rPr>
              <w:t xml:space="preserve"> floor</w:t>
            </w:r>
            <w:r w:rsidRPr="00717728">
              <w:rPr>
                <w:rFonts w:ascii="Times New Roman" w:hAnsi="Times New Roman" w:cs="Times New Roman"/>
              </w:rPr>
              <w:t>, (hereinafter: the ‘</w:t>
            </w:r>
            <w:r>
              <w:rPr>
                <w:rFonts w:ascii="Times New Roman" w:hAnsi="Times New Roman" w:cs="Times New Roman"/>
                <w:b/>
                <w:bCs/>
              </w:rPr>
              <w:t>Sub-grantor</w:t>
            </w:r>
            <w:r w:rsidRPr="00717728">
              <w:rPr>
                <w:rFonts w:ascii="Times New Roman" w:hAnsi="Times New Roman" w:cs="Times New Roman"/>
              </w:rPr>
              <w:t xml:space="preserve">’), lawfully represented by Mr. Sergey Melik-Yolchyan, </w:t>
            </w:r>
            <w:r w:rsidRPr="009143EB">
              <w:rPr>
                <w:rFonts w:ascii="Times New Roman" w:hAnsi="Times New Roman" w:cs="Times New Roman"/>
              </w:rPr>
              <w:t>Deputy CEO – “Capital Cities Collaborating on Common Challenges in Hazardous Waste Management – Yerevan, Warsaw, Tirana” project director /financial director/</w:t>
            </w:r>
            <w:r>
              <w:rPr>
                <w:rFonts w:ascii="Times New Roman" w:hAnsi="Times New Roman" w:cs="Times New Roman"/>
              </w:rPr>
              <w:t xml:space="preserve"> from</w:t>
            </w:r>
            <w:r w:rsidRPr="00717728">
              <w:rPr>
                <w:rFonts w:ascii="Times New Roman" w:hAnsi="Times New Roman" w:cs="Times New Roman"/>
              </w:rPr>
              <w:t xml:space="preserve"> one part,</w:t>
            </w:r>
          </w:p>
        </w:tc>
      </w:tr>
      <w:tr w:rsidR="00495ADE" w:rsidRPr="00717728" w14:paraId="027EC2B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4"/>
            <w:tcBorders>
              <w:top w:val="nil"/>
              <w:left w:val="nil"/>
              <w:bottom w:val="nil"/>
              <w:right w:val="nil"/>
            </w:tcBorders>
          </w:tcPr>
          <w:p w14:paraId="62DF8FF4" w14:textId="77777777" w:rsidR="00495ADE" w:rsidRPr="00717728" w:rsidRDefault="00495ADE" w:rsidP="002B5AAC">
            <w:pPr>
              <w:tabs>
                <w:tab w:val="left" w:pos="-1701"/>
                <w:tab w:val="left" w:pos="-1560"/>
                <w:tab w:val="left" w:pos="-1440"/>
              </w:tabs>
              <w:spacing w:after="120" w:line="256" w:lineRule="auto"/>
              <w:contextualSpacing/>
              <w:rPr>
                <w:rFonts w:ascii="Times New Roman" w:hAnsi="Times New Roman" w:cs="Times New Roman"/>
              </w:rPr>
            </w:pPr>
            <w:r w:rsidRPr="00717728">
              <w:rPr>
                <w:rFonts w:ascii="Times New Roman" w:hAnsi="Times New Roman" w:cs="Times New Roman"/>
              </w:rPr>
              <w:t>և</w:t>
            </w:r>
          </w:p>
          <w:p w14:paraId="35A27CBA" w14:textId="77777777" w:rsidR="00495ADE" w:rsidRPr="00717728" w:rsidRDefault="00495ADE" w:rsidP="002B5AAC">
            <w:pPr>
              <w:spacing w:after="120" w:line="256" w:lineRule="auto"/>
              <w:contextualSpacing/>
              <w:jc w:val="both"/>
              <w:rPr>
                <w:rFonts w:ascii="Times New Roman" w:hAnsi="Times New Roman" w:cs="Times New Roman"/>
                <w:highlight w:val="yellow"/>
              </w:rPr>
            </w:pPr>
            <w:r w:rsidRPr="00717728">
              <w:rPr>
                <w:rFonts w:ascii="Times New Roman" w:hAnsi="Times New Roman" w:cs="Times New Roman"/>
              </w:rPr>
              <w:t>&lt;</w:t>
            </w:r>
            <w:r w:rsidRPr="00717728">
              <w:rPr>
                <w:rFonts w:ascii="Times New Roman" w:hAnsi="Times New Roman" w:cs="Times New Roman"/>
                <w:highlight w:val="yellow"/>
              </w:rPr>
              <w:t xml:space="preserve"> </w:t>
            </w:r>
            <w:r w:rsidRPr="00AA07B7">
              <w:rPr>
                <w:rFonts w:ascii="Times New Roman" w:hAnsi="Times New Roman" w:cs="Times New Roman"/>
                <w:highlight w:val="yellow"/>
              </w:rPr>
              <w:t xml:space="preserve">Պաշտոնական անվանումն ամբողջությամբ, ինչպես գրանցված է </w:t>
            </w:r>
            <w:r w:rsidRPr="000941D1">
              <w:rPr>
                <w:rFonts w:ascii="Times New Roman" w:hAnsi="Times New Roman" w:cs="Times New Roman"/>
                <w:highlight w:val="yellow"/>
              </w:rPr>
              <w:t>LEF</w:t>
            </w:r>
            <w:r w:rsidRPr="00717728">
              <w:rPr>
                <w:rFonts w:ascii="Times New Roman" w:hAnsi="Times New Roman" w:cs="Times New Roman"/>
              </w:rPr>
              <w:t>-</w:t>
            </w:r>
            <w:r w:rsidRPr="00717728">
              <w:rPr>
                <w:rFonts w:ascii="Times New Roman" w:hAnsi="Times New Roman" w:cs="Times New Roman"/>
                <w:highlight w:val="yellow"/>
              </w:rPr>
              <w:t>ում</w:t>
            </w:r>
            <w:r w:rsidRPr="00717728">
              <w:rPr>
                <w:rFonts w:ascii="Times New Roman" w:hAnsi="Times New Roman" w:cs="Times New Roman"/>
              </w:rPr>
              <w:t>&gt; &lt;</w:t>
            </w:r>
            <w:r w:rsidRPr="00717728">
              <w:rPr>
                <w:rFonts w:ascii="Times New Roman" w:hAnsi="Times New Roman" w:cs="Times New Roman"/>
                <w:highlight w:val="yellow"/>
              </w:rPr>
              <w:t>իրավական կարգավիճակ (կազմակերպություն)&gt;</w:t>
            </w:r>
          </w:p>
          <w:p w14:paraId="3597B36D" w14:textId="1FD2F4CC" w:rsidR="00495ADE"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highlight w:val="lightGray"/>
              </w:rPr>
              <w:t xml:space="preserve">[&lt;Կազմակերպության </w:t>
            </w:r>
            <w:r>
              <w:rPr>
                <w:rFonts w:ascii="Times New Roman" w:hAnsi="Times New Roman" w:cs="Times New Roman"/>
                <w:highlight w:val="lightGray"/>
              </w:rPr>
              <w:t>պետական</w:t>
            </w:r>
            <w:r w:rsidRPr="00717728">
              <w:rPr>
                <w:rFonts w:ascii="Times New Roman" w:hAnsi="Times New Roman" w:cs="Times New Roman"/>
                <w:highlight w:val="lightGray"/>
              </w:rPr>
              <w:t xml:space="preserve"> գրանցման համարը&gt;]</w:t>
            </w:r>
            <w:r w:rsidRPr="00717728">
              <w:rPr>
                <w:rFonts w:ascii="Times New Roman" w:hAnsi="Times New Roman" w:cs="Times New Roman"/>
              </w:rPr>
              <w:t xml:space="preserve"> </w:t>
            </w:r>
          </w:p>
          <w:p w14:paraId="7B05FEF0" w14:textId="3012434F" w:rsidR="00AA07B7" w:rsidRDefault="00AA07B7" w:rsidP="002B5AAC">
            <w:pPr>
              <w:spacing w:after="120" w:line="256" w:lineRule="auto"/>
              <w:contextualSpacing/>
              <w:jc w:val="both"/>
              <w:rPr>
                <w:rFonts w:ascii="Times New Roman" w:hAnsi="Times New Roman" w:cs="Times New Roman"/>
              </w:rPr>
            </w:pPr>
          </w:p>
          <w:p w14:paraId="47AD0CEF" w14:textId="77777777" w:rsidR="00AA07B7" w:rsidRPr="00717728" w:rsidRDefault="00AA07B7" w:rsidP="002B5AAC">
            <w:pPr>
              <w:spacing w:after="120" w:line="256" w:lineRule="auto"/>
              <w:contextualSpacing/>
              <w:jc w:val="both"/>
              <w:rPr>
                <w:rFonts w:ascii="Times New Roman" w:hAnsi="Times New Roman" w:cs="Times New Roman"/>
              </w:rPr>
            </w:pPr>
          </w:p>
          <w:p w14:paraId="17CB3DDB" w14:textId="77777777"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rPr>
              <w:t>&lt;</w:t>
            </w:r>
            <w:r w:rsidRPr="00717728">
              <w:rPr>
                <w:rFonts w:ascii="Times New Roman" w:hAnsi="Times New Roman" w:cs="Times New Roman"/>
                <w:highlight w:val="yellow"/>
              </w:rPr>
              <w:t>պաշտոնական հասցեն ամբողջությամբ</w:t>
            </w:r>
            <w:r w:rsidRPr="00717728">
              <w:rPr>
                <w:rFonts w:ascii="Times New Roman" w:hAnsi="Times New Roman" w:cs="Times New Roman"/>
              </w:rPr>
              <w:t xml:space="preserve"> &gt;</w:t>
            </w:r>
          </w:p>
          <w:p w14:paraId="6B10CB8E" w14:textId="77777777"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b/>
                <w:highlight w:val="lightGray"/>
              </w:rPr>
              <w:t>[</w:t>
            </w:r>
            <w:r w:rsidRPr="000941D1">
              <w:rPr>
                <w:rFonts w:ascii="Times New Roman" w:hAnsi="Times New Roman" w:cs="Times New Roman"/>
                <w:highlight w:val="lightGray"/>
              </w:rPr>
              <w:t>ԱԱՀ համարը ԱԱՀ վճարող շահառուների դեպքում</w:t>
            </w:r>
            <w:r w:rsidRPr="00AA07B7">
              <w:rPr>
                <w:rFonts w:ascii="Times New Roman" w:hAnsi="Times New Roman" w:cs="Times New Roman"/>
                <w:b/>
                <w:highlight w:val="lightGray"/>
              </w:rPr>
              <w:t>]</w:t>
            </w:r>
            <w:r w:rsidRPr="00717728">
              <w:rPr>
                <w:rFonts w:ascii="Times New Roman" w:hAnsi="Times New Roman" w:cs="Times New Roman"/>
              </w:rPr>
              <w:t xml:space="preserve"> (այսուհետ՝ </w:t>
            </w:r>
            <w:r w:rsidRPr="00717728">
              <w:rPr>
                <w:rFonts w:ascii="Times New Roman" w:hAnsi="Times New Roman" w:cs="Times New Roman"/>
                <w:b/>
                <w:bCs/>
              </w:rPr>
              <w:t>Ենթադրամաշնորհառու</w:t>
            </w:r>
            <w:r w:rsidRPr="00717728">
              <w:rPr>
                <w:rFonts w:ascii="Times New Roman" w:hAnsi="Times New Roman" w:cs="Times New Roman"/>
              </w:rPr>
              <w:t>)</w:t>
            </w:r>
          </w:p>
          <w:p w14:paraId="1DE4D842" w14:textId="77777777" w:rsidR="00495ADE" w:rsidRPr="00717728" w:rsidRDefault="00495ADE" w:rsidP="002B5AA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ի դեմս </w:t>
            </w:r>
            <w:r w:rsidRPr="00717728">
              <w:rPr>
                <w:rFonts w:ascii="Times New Roman" w:hAnsi="Times New Roman" w:cs="Times New Roman"/>
                <w:highlight w:val="yellow"/>
              </w:rPr>
              <w:t>&lt;օրինական ներկայացուցչի անունը և պաշտոնը &gt;</w:t>
            </w:r>
            <w:r w:rsidRPr="00717728">
              <w:rPr>
                <w:rFonts w:ascii="Times New Roman" w:hAnsi="Times New Roman" w:cs="Times New Roman"/>
                <w:lang w:val="hy-AM"/>
              </w:rPr>
              <w:t xml:space="preserve">, </w:t>
            </w:r>
          </w:p>
          <w:p w14:paraId="611EEA6A" w14:textId="6CE16E3D" w:rsidR="00495ADE" w:rsidRPr="00717728" w:rsidRDefault="00495ADE" w:rsidP="002B5AAC">
            <w:pPr>
              <w:spacing w:after="120" w:line="256" w:lineRule="auto"/>
              <w:contextualSpacing/>
              <w:jc w:val="both"/>
              <w:rPr>
                <w:rFonts w:ascii="Times New Roman" w:hAnsi="Times New Roman" w:cs="Times New Roman"/>
                <w:color w:val="0070C0"/>
                <w:sz w:val="24"/>
                <w:szCs w:val="24"/>
                <w:lang w:eastAsia="en-GB"/>
              </w:rPr>
            </w:pPr>
            <w:r w:rsidRPr="00717728">
              <w:rPr>
                <w:rFonts w:ascii="Times New Roman" w:hAnsi="Times New Roman" w:cs="Times New Roman"/>
              </w:rPr>
              <w:t>մյուս կողմից,</w:t>
            </w:r>
          </w:p>
          <w:p w14:paraId="7A13BBB9" w14:textId="77777777"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rPr>
              <w:t>(այսուհետ՝ Կողմեր)</w:t>
            </w:r>
          </w:p>
          <w:p w14:paraId="3EB91E3D" w14:textId="27A706D4" w:rsidR="00495ADE" w:rsidRPr="00717728" w:rsidRDefault="00495ADE" w:rsidP="002B5AAC">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պայամանավորվեցին ներքոնշյալի մասին.</w:t>
            </w:r>
          </w:p>
        </w:tc>
        <w:tc>
          <w:tcPr>
            <w:tcW w:w="333" w:type="dxa"/>
            <w:gridSpan w:val="2"/>
            <w:tcBorders>
              <w:top w:val="nil"/>
              <w:left w:val="nil"/>
              <w:bottom w:val="nil"/>
              <w:right w:val="nil"/>
            </w:tcBorders>
          </w:tcPr>
          <w:p w14:paraId="3C4A0337" w14:textId="77777777" w:rsidR="00495ADE" w:rsidRPr="00717728" w:rsidRDefault="00495ADE" w:rsidP="003A7701">
            <w:pPr>
              <w:tabs>
                <w:tab w:val="left" w:pos="-1701"/>
                <w:tab w:val="left" w:pos="-1560"/>
                <w:tab w:val="left" w:pos="-1440"/>
              </w:tabs>
              <w:spacing w:after="120" w:line="256" w:lineRule="auto"/>
              <w:contextualSpacing/>
              <w:rPr>
                <w:rFonts w:ascii="Times New Roman" w:hAnsi="Times New Roman" w:cs="Times New Roman"/>
              </w:rPr>
            </w:pPr>
          </w:p>
        </w:tc>
        <w:tc>
          <w:tcPr>
            <w:tcW w:w="3895" w:type="dxa"/>
            <w:tcBorders>
              <w:top w:val="nil"/>
              <w:left w:val="nil"/>
              <w:bottom w:val="nil"/>
              <w:right w:val="nil"/>
            </w:tcBorders>
          </w:tcPr>
          <w:p w14:paraId="1E6B563B" w14:textId="54903B91" w:rsidR="00495ADE" w:rsidRPr="00717728" w:rsidRDefault="00495ADE" w:rsidP="003A7701">
            <w:pPr>
              <w:tabs>
                <w:tab w:val="left" w:pos="-1701"/>
                <w:tab w:val="left" w:pos="-1560"/>
                <w:tab w:val="left" w:pos="-1440"/>
              </w:tabs>
              <w:spacing w:after="120" w:line="256" w:lineRule="auto"/>
              <w:contextualSpacing/>
              <w:rPr>
                <w:rFonts w:ascii="Times New Roman" w:hAnsi="Times New Roman" w:cs="Times New Roman"/>
              </w:rPr>
            </w:pPr>
            <w:r w:rsidRPr="00717728">
              <w:rPr>
                <w:rFonts w:ascii="Times New Roman" w:hAnsi="Times New Roman" w:cs="Times New Roman"/>
              </w:rPr>
              <w:t>and</w:t>
            </w:r>
          </w:p>
          <w:p w14:paraId="16D7CB29"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&lt;</w:t>
            </w:r>
            <w:r w:rsidRPr="00717728">
              <w:rPr>
                <w:rFonts w:ascii="Times New Roman" w:hAnsi="Times New Roman" w:cs="Times New Roman"/>
                <w:highlight w:val="yellow"/>
              </w:rPr>
              <w:t>Full official name as mentioned in the LEF</w:t>
            </w:r>
            <w:r w:rsidRPr="00717728">
              <w:rPr>
                <w:rFonts w:ascii="Times New Roman" w:hAnsi="Times New Roman" w:cs="Times New Roman"/>
              </w:rPr>
              <w:t>&gt; &lt;</w:t>
            </w:r>
            <w:r w:rsidRPr="00717728">
              <w:rPr>
                <w:rFonts w:ascii="Times New Roman" w:hAnsi="Times New Roman" w:cs="Times New Roman"/>
                <w:highlight w:val="yellow"/>
              </w:rPr>
              <w:t>Legal status (organisation</w:t>
            </w:r>
            <w:r w:rsidRPr="00717728">
              <w:rPr>
                <w:rFonts w:ascii="Times New Roman" w:hAnsi="Times New Roman" w:cs="Times New Roman"/>
              </w:rPr>
              <w:t>)&gt;</w:t>
            </w:r>
          </w:p>
          <w:p w14:paraId="74AA92B1" w14:textId="77777777" w:rsidR="00495ADE" w:rsidRDefault="00495ADE" w:rsidP="003A7701">
            <w:pPr>
              <w:spacing w:after="120" w:line="256" w:lineRule="auto"/>
              <w:contextualSpacing/>
              <w:jc w:val="both"/>
              <w:rPr>
                <w:rFonts w:ascii="Times New Roman" w:hAnsi="Times New Roman" w:cs="Times New Roman"/>
                <w:highlight w:val="lightGray"/>
              </w:rPr>
            </w:pPr>
          </w:p>
          <w:p w14:paraId="6F99A06F" w14:textId="3428604A"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highlight w:val="lightGray"/>
              </w:rPr>
              <w:t xml:space="preserve">[&lt;Organisation </w:t>
            </w:r>
            <w:r>
              <w:rPr>
                <w:rFonts w:ascii="Times New Roman" w:hAnsi="Times New Roman" w:cs="Times New Roman"/>
                <w:highlight w:val="lightGray"/>
              </w:rPr>
              <w:t>state</w:t>
            </w:r>
            <w:r w:rsidRPr="00717728">
              <w:rPr>
                <w:rFonts w:ascii="Times New Roman" w:hAnsi="Times New Roman" w:cs="Times New Roman"/>
                <w:highlight w:val="lightGray"/>
              </w:rPr>
              <w:t xml:space="preserve"> registration number&gt;]</w:t>
            </w:r>
            <w:r w:rsidRPr="00717728">
              <w:rPr>
                <w:rFonts w:ascii="Times New Roman" w:hAnsi="Times New Roman" w:cs="Times New Roman"/>
              </w:rPr>
              <w:t xml:space="preserve"> </w:t>
            </w:r>
          </w:p>
          <w:p w14:paraId="71CB3B90" w14:textId="77777777" w:rsidR="00495ADE" w:rsidRDefault="00495ADE" w:rsidP="003A7701">
            <w:pPr>
              <w:spacing w:after="120" w:line="256" w:lineRule="auto"/>
              <w:contextualSpacing/>
              <w:jc w:val="both"/>
              <w:rPr>
                <w:rFonts w:ascii="Times New Roman" w:hAnsi="Times New Roman" w:cs="Times New Roman"/>
              </w:rPr>
            </w:pPr>
          </w:p>
          <w:p w14:paraId="73ACB988" w14:textId="1C408216"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&lt;</w:t>
            </w:r>
            <w:r w:rsidRPr="00717728">
              <w:rPr>
                <w:rFonts w:ascii="Times New Roman" w:hAnsi="Times New Roman" w:cs="Times New Roman"/>
                <w:highlight w:val="yellow"/>
              </w:rPr>
              <w:t>Full official address</w:t>
            </w:r>
            <w:r w:rsidRPr="00717728">
              <w:rPr>
                <w:rFonts w:ascii="Times New Roman" w:hAnsi="Times New Roman" w:cs="Times New Roman"/>
              </w:rPr>
              <w:t>&gt;</w:t>
            </w:r>
          </w:p>
          <w:p w14:paraId="4456964F"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b/>
                <w:highlight w:val="lightGray"/>
              </w:rPr>
              <w:t>[</w:t>
            </w:r>
            <w:r w:rsidRPr="00717728">
              <w:rPr>
                <w:rFonts w:ascii="Times New Roman" w:hAnsi="Times New Roman" w:cs="Times New Roman"/>
                <w:highlight w:val="lightGray"/>
              </w:rPr>
              <w:t>VAT number, for VAT registered beneficiaries</w:t>
            </w:r>
            <w:r w:rsidRPr="00717728">
              <w:rPr>
                <w:rFonts w:ascii="Times New Roman" w:hAnsi="Times New Roman" w:cs="Times New Roman"/>
                <w:b/>
                <w:highlight w:val="lightGray"/>
              </w:rPr>
              <w:t>]</w:t>
            </w:r>
            <w:r w:rsidRPr="00717728">
              <w:rPr>
                <w:rFonts w:ascii="Times New Roman" w:hAnsi="Times New Roman" w:cs="Times New Roman"/>
              </w:rPr>
              <w:t xml:space="preserve"> (hereinafter: </w:t>
            </w:r>
            <w:proofErr w:type="gramStart"/>
            <w:r w:rsidRPr="00717728">
              <w:rPr>
                <w:rFonts w:ascii="Times New Roman" w:hAnsi="Times New Roman" w:cs="Times New Roman"/>
                <w:b/>
                <w:bCs/>
              </w:rPr>
              <w:t>the</w:t>
            </w:r>
            <w:proofErr w:type="gramEnd"/>
            <w:r w:rsidRPr="00717728">
              <w:rPr>
                <w:rFonts w:ascii="Times New Roman" w:hAnsi="Times New Roman" w:cs="Times New Roman"/>
                <w:b/>
                <w:bCs/>
              </w:rPr>
              <w:t xml:space="preserve"> Sub-grantee</w:t>
            </w:r>
            <w:r w:rsidRPr="00717728">
              <w:rPr>
                <w:rFonts w:ascii="Times New Roman" w:hAnsi="Times New Roman" w:cs="Times New Roman"/>
              </w:rPr>
              <w:t>)</w:t>
            </w:r>
          </w:p>
          <w:p w14:paraId="48D130F0"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 xml:space="preserve">lawfully represented by </w:t>
            </w:r>
            <w:r w:rsidRPr="00717728">
              <w:rPr>
                <w:rFonts w:ascii="Times New Roman" w:hAnsi="Times New Roman" w:cs="Times New Roman"/>
                <w:highlight w:val="yellow"/>
              </w:rPr>
              <w:t>&lt;insert name and position of the legal representative&gt;</w:t>
            </w:r>
          </w:p>
          <w:p w14:paraId="2DED649B"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p>
          <w:p w14:paraId="2EC54F42" w14:textId="786F9B92" w:rsidR="00495ADE" w:rsidRPr="00717728" w:rsidRDefault="00495ADE" w:rsidP="003A7701">
            <w:pPr>
              <w:spacing w:after="120" w:line="256" w:lineRule="auto"/>
              <w:contextualSpacing/>
              <w:jc w:val="both"/>
              <w:rPr>
                <w:rFonts w:ascii="Times New Roman" w:hAnsi="Times New Roman" w:cs="Times New Roman"/>
                <w:color w:val="0070C0"/>
                <w:sz w:val="24"/>
                <w:szCs w:val="24"/>
                <w:lang w:eastAsia="en-GB"/>
              </w:rPr>
            </w:pPr>
            <w:r w:rsidRPr="00717728">
              <w:rPr>
                <w:rFonts w:ascii="Times New Roman" w:hAnsi="Times New Roman" w:cs="Times New Roman"/>
              </w:rPr>
              <w:t>of the other part,</w:t>
            </w:r>
          </w:p>
          <w:p w14:paraId="627E6354"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(hereinafter: the ‘Parties’)</w:t>
            </w:r>
          </w:p>
          <w:p w14:paraId="5EC9E5B9" w14:textId="01B74089" w:rsidR="00495ADE" w:rsidRPr="00717728" w:rsidRDefault="00495ADE" w:rsidP="0052546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have agreed as follows:</w:t>
            </w:r>
          </w:p>
        </w:tc>
      </w:tr>
      <w:tr w:rsidR="00495ADE" w:rsidRPr="00717728" w14:paraId="172D644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27"/>
        </w:trPr>
        <w:tc>
          <w:tcPr>
            <w:tcW w:w="6246" w:type="dxa"/>
            <w:gridSpan w:val="4"/>
            <w:tcBorders>
              <w:top w:val="nil"/>
              <w:left w:val="nil"/>
              <w:bottom w:val="nil"/>
              <w:right w:val="nil"/>
            </w:tcBorders>
            <w:vAlign w:val="center"/>
          </w:tcPr>
          <w:p w14:paraId="3917FED2" w14:textId="4C0701A6" w:rsidR="00495ADE" w:rsidRPr="00717728" w:rsidRDefault="00495ADE" w:rsidP="003A7701">
            <w:pPr>
              <w:pStyle w:val="Heading1"/>
              <w:spacing w:before="0" w:after="120" w:line="259" w:lineRule="auto"/>
              <w:contextualSpacing/>
              <w:jc w:val="both"/>
              <w:outlineLvl w:val="0"/>
              <w:rPr>
                <w:rFonts w:ascii="Times New Roman" w:hAnsi="Times New Roman" w:cs="Times New Roman"/>
              </w:rPr>
            </w:pPr>
            <w:bookmarkStart w:id="0" w:name="_Toc70236968"/>
            <w:r w:rsidRPr="00717728">
              <w:rPr>
                <w:rFonts w:ascii="Times New Roman" w:eastAsia="Times New Roman" w:hAnsi="Times New Roman" w:cs="Times New Roman"/>
                <w:bCs w:val="0"/>
                <w:color w:val="auto"/>
                <w:sz w:val="24"/>
                <w:szCs w:val="20"/>
                <w:lang w:val="en-GB"/>
              </w:rPr>
              <w:t>ՀՈԴՎԱԾ 1 — Պայմանագրի առարկան</w:t>
            </w:r>
            <w:bookmarkEnd w:id="0"/>
          </w:p>
        </w:tc>
        <w:tc>
          <w:tcPr>
            <w:tcW w:w="333" w:type="dxa"/>
            <w:gridSpan w:val="2"/>
            <w:tcBorders>
              <w:top w:val="nil"/>
              <w:left w:val="nil"/>
              <w:bottom w:val="nil"/>
              <w:right w:val="nil"/>
            </w:tcBorders>
          </w:tcPr>
          <w:p w14:paraId="4AEC1BF4" w14:textId="77777777" w:rsidR="00495ADE" w:rsidRPr="00717728" w:rsidRDefault="00495ADE" w:rsidP="00D15986">
            <w:pPr>
              <w:pStyle w:val="Heading1"/>
              <w:spacing w:before="0" w:after="120" w:line="259" w:lineRule="auto"/>
              <w:contextualSpacing/>
              <w:jc w:val="both"/>
              <w:outlineLvl w:val="0"/>
              <w:rPr>
                <w:rFonts w:ascii="Times New Roman" w:eastAsia="Times New Roman" w:hAnsi="Times New Roman" w:cs="Times New Roman"/>
                <w:bCs w:val="0"/>
                <w:color w:val="auto"/>
                <w:sz w:val="24"/>
                <w:szCs w:val="20"/>
                <w:lang w:val="en-GB"/>
              </w:rPr>
            </w:pPr>
          </w:p>
        </w:tc>
        <w:tc>
          <w:tcPr>
            <w:tcW w:w="3895" w:type="dxa"/>
            <w:tcBorders>
              <w:top w:val="nil"/>
              <w:left w:val="nil"/>
              <w:bottom w:val="nil"/>
              <w:right w:val="nil"/>
            </w:tcBorders>
            <w:vAlign w:val="center"/>
          </w:tcPr>
          <w:p w14:paraId="68978099" w14:textId="7E6A3124" w:rsidR="00495ADE" w:rsidRPr="00717728" w:rsidRDefault="00495ADE" w:rsidP="00D15986">
            <w:pPr>
              <w:pStyle w:val="Heading1"/>
              <w:spacing w:before="0" w:after="120" w:line="259" w:lineRule="auto"/>
              <w:contextualSpacing/>
              <w:jc w:val="both"/>
              <w:outlineLvl w:val="0"/>
              <w:rPr>
                <w:rFonts w:ascii="Times New Roman" w:hAnsi="Times New Roman" w:cs="Times New Roman"/>
                <w:b w:val="0"/>
                <w:lang w:val="hy-AM"/>
              </w:rPr>
            </w:pPr>
            <w:bookmarkStart w:id="1" w:name="_Toc67590168"/>
            <w:r w:rsidRPr="00717728">
              <w:rPr>
                <w:rFonts w:ascii="Times New Roman" w:eastAsia="Times New Roman" w:hAnsi="Times New Roman" w:cs="Times New Roman"/>
                <w:bCs w:val="0"/>
                <w:color w:val="auto"/>
                <w:sz w:val="24"/>
                <w:szCs w:val="20"/>
                <w:lang w:val="en-GB"/>
              </w:rPr>
              <w:t xml:space="preserve">ARTICLE 1 — </w:t>
            </w:r>
            <w:bookmarkEnd w:id="1"/>
            <w:r>
              <w:rPr>
                <w:rFonts w:ascii="Times New Roman" w:eastAsia="Times New Roman" w:hAnsi="Times New Roman" w:cs="Times New Roman"/>
                <w:bCs w:val="0"/>
                <w:color w:val="auto"/>
                <w:sz w:val="24"/>
                <w:szCs w:val="20"/>
                <w:lang w:val="en-GB"/>
              </w:rPr>
              <w:t>Subject of contract</w:t>
            </w:r>
          </w:p>
        </w:tc>
      </w:tr>
      <w:tr w:rsidR="00495ADE" w:rsidRPr="00717728" w14:paraId="0DA49EC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280"/>
        </w:trPr>
        <w:tc>
          <w:tcPr>
            <w:tcW w:w="6246" w:type="dxa"/>
            <w:gridSpan w:val="4"/>
            <w:tcBorders>
              <w:top w:val="nil"/>
              <w:left w:val="nil"/>
              <w:bottom w:val="nil"/>
              <w:right w:val="nil"/>
            </w:tcBorders>
          </w:tcPr>
          <w:p w14:paraId="436C7A1E" w14:textId="3A98F46F" w:rsidR="00495ADE" w:rsidRPr="00717728" w:rsidRDefault="00495ADE" w:rsidP="00D15986">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 Սույն Պայամանագրի առարկան </w:t>
            </w:r>
            <w:r>
              <w:rPr>
                <w:rFonts w:ascii="Times New Roman" w:hAnsi="Times New Roman" w:cs="Times New Roman"/>
              </w:rPr>
              <w:t>Ենթադրամաշնորհատուի</w:t>
            </w:r>
            <w:r w:rsidRPr="00717728">
              <w:rPr>
                <w:rFonts w:ascii="Times New Roman" w:hAnsi="Times New Roman" w:cs="Times New Roman"/>
              </w:rPr>
              <w:t xml:space="preserve"> </w:t>
            </w:r>
            <w:r>
              <w:rPr>
                <w:rFonts w:ascii="Times New Roman" w:hAnsi="Times New Roman" w:cs="Times New Roman"/>
              </w:rPr>
              <w:t xml:space="preserve">(Պայմանագիր կնքող մարմին) </w:t>
            </w:r>
            <w:r w:rsidRPr="00717728">
              <w:rPr>
                <w:rFonts w:ascii="Times New Roman" w:hAnsi="Times New Roman" w:cs="Times New Roman"/>
              </w:rPr>
              <w:t xml:space="preserve">կողմից ենթադրամաշնորհի շնորհումն է՝ Հավելված I-ում նկարագրված </w:t>
            </w:r>
            <w:r w:rsidRPr="00717728">
              <w:rPr>
                <w:rFonts w:ascii="Times New Roman" w:hAnsi="Times New Roman" w:cs="Times New Roman"/>
                <w:highlight w:val="yellow"/>
              </w:rPr>
              <w:t>&lt;անվանումն ըստ Հավելված I-ի&gt;</w:t>
            </w:r>
            <w:r w:rsidRPr="00717728">
              <w:rPr>
                <w:rFonts w:ascii="Times New Roman" w:hAnsi="Times New Roman" w:cs="Times New Roman"/>
              </w:rPr>
              <w:t xml:space="preserve"> </w:t>
            </w:r>
            <w:r>
              <w:rPr>
                <w:rFonts w:ascii="Times New Roman" w:hAnsi="Times New Roman" w:cs="Times New Roman"/>
              </w:rPr>
              <w:t xml:space="preserve">ծրագրի </w:t>
            </w:r>
            <w:r w:rsidRPr="00717728">
              <w:rPr>
                <w:rFonts w:ascii="Times New Roman" w:hAnsi="Times New Roman" w:cs="Times New Roman"/>
              </w:rPr>
              <w:t>իրականացման նպատակով (այսուհետ՝ Գործողություն): Ենթադրամաշնորհի միջոցներով որևէ այլ գործողություն չի կարող ֆինանսավորվել:</w:t>
            </w:r>
          </w:p>
        </w:tc>
        <w:tc>
          <w:tcPr>
            <w:tcW w:w="333" w:type="dxa"/>
            <w:gridSpan w:val="2"/>
            <w:tcBorders>
              <w:top w:val="nil"/>
              <w:left w:val="nil"/>
              <w:bottom w:val="nil"/>
              <w:right w:val="nil"/>
            </w:tcBorders>
          </w:tcPr>
          <w:p w14:paraId="182ACBDC" w14:textId="77777777" w:rsidR="00495ADE" w:rsidRPr="00717728" w:rsidRDefault="00495ADE" w:rsidP="00D15986">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3959C94" w14:textId="56E74523" w:rsidR="00495ADE" w:rsidRPr="00717728" w:rsidRDefault="00495ADE" w:rsidP="00D15986">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1.1 The purpose of this contract is the award of a sub-grant by the </w:t>
            </w:r>
            <w:r>
              <w:rPr>
                <w:rFonts w:ascii="Times New Roman" w:hAnsi="Times New Roman" w:cs="Times New Roman"/>
              </w:rPr>
              <w:t>Sub-grantor</w:t>
            </w:r>
            <w:r w:rsidRPr="00717728">
              <w:rPr>
                <w:rFonts w:ascii="Times New Roman" w:hAnsi="Times New Roman" w:cs="Times New Roman"/>
              </w:rPr>
              <w:t xml:space="preserve"> </w:t>
            </w:r>
            <w:r>
              <w:rPr>
                <w:rFonts w:ascii="Times New Roman" w:hAnsi="Times New Roman" w:cs="Times New Roman"/>
              </w:rPr>
              <w:t xml:space="preserve">(Contracting Authority) </w:t>
            </w:r>
            <w:r w:rsidRPr="00717728">
              <w:rPr>
                <w:rFonts w:ascii="Times New Roman" w:hAnsi="Times New Roman" w:cs="Times New Roman"/>
              </w:rPr>
              <w:t xml:space="preserve">to finance the implementation of the </w:t>
            </w:r>
            <w:r w:rsidRPr="00717728">
              <w:rPr>
                <w:rFonts w:ascii="Times New Roman" w:hAnsi="Times New Roman" w:cs="Times New Roman"/>
                <w:highlight w:val="yellow"/>
              </w:rPr>
              <w:t>&lt;insert title as per Annex I&gt;</w:t>
            </w:r>
            <w:r>
              <w:rPr>
                <w:rFonts w:ascii="Times New Roman" w:hAnsi="Times New Roman" w:cs="Times New Roman"/>
              </w:rPr>
              <w:t xml:space="preserve"> project </w:t>
            </w:r>
            <w:r w:rsidRPr="00717728">
              <w:rPr>
                <w:rFonts w:ascii="Times New Roman" w:hAnsi="Times New Roman" w:cs="Times New Roman"/>
              </w:rPr>
              <w:t>described in Annex I (hereinafter:</w:t>
            </w:r>
            <w:r w:rsidR="00CA0714">
              <w:rPr>
                <w:rFonts w:ascii="Times New Roman" w:hAnsi="Times New Roman" w:cs="Times New Roman"/>
              </w:rPr>
              <w:t xml:space="preserve"> </w:t>
            </w:r>
            <w:r w:rsidRPr="00717728">
              <w:rPr>
                <w:rFonts w:ascii="Times New Roman" w:hAnsi="Times New Roman" w:cs="Times New Roman"/>
              </w:rPr>
              <w:t>‘the</w:t>
            </w:r>
            <w:r>
              <w:rPr>
                <w:rFonts w:ascii="Times New Roman" w:hAnsi="Times New Roman" w:cs="Times New Roman"/>
              </w:rPr>
              <w:t xml:space="preserve"> Action’</w:t>
            </w:r>
            <w:r w:rsidRPr="00717728">
              <w:rPr>
                <w:rFonts w:ascii="Times New Roman" w:hAnsi="Times New Roman" w:cs="Times New Roman"/>
              </w:rPr>
              <w:t>). No other activity can be financed with the sub-grant.</w:t>
            </w:r>
          </w:p>
        </w:tc>
      </w:tr>
      <w:tr w:rsidR="00495ADE" w:rsidRPr="00717728" w14:paraId="7E97BD5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7F6BF6EE" w14:textId="703C8914" w:rsidR="00495ADE" w:rsidRPr="00AA07B7" w:rsidRDefault="00495ADE" w:rsidP="009143EB">
            <w:pPr>
              <w:tabs>
                <w:tab w:val="left" w:pos="6237"/>
              </w:tabs>
              <w:spacing w:before="60" w:after="60" w:line="240" w:lineRule="auto"/>
              <w:rPr>
                <w:rFonts w:ascii="Times New Roman" w:hAnsi="Times New Roman" w:cs="Times New Roman"/>
              </w:rPr>
            </w:pPr>
            <w:r w:rsidRPr="00AA07B7">
              <w:rPr>
                <w:rFonts w:ascii="Times New Roman" w:hAnsi="Times New Roman" w:cs="Times New Roman"/>
              </w:rPr>
              <w:t xml:space="preserve">1.2 «Երևանի կառուցապատման ներդրումային ԾԻԳ» ՀՈԱԿ-ը, որպես Ենթադրամաշնորհատու, և </w:t>
            </w:r>
            <w:r w:rsidRPr="000941D1">
              <w:rPr>
                <w:rFonts w:ascii="Times New Roman" w:hAnsi="Times New Roman" w:cs="Times New Roman"/>
              </w:rPr>
              <w:t xml:space="preserve">Ենթադրամաշնորհառուն </w:t>
            </w:r>
            <w:r w:rsidRPr="000941D1">
              <w:rPr>
                <w:rFonts w:ascii="Times New Roman" w:hAnsi="Times New Roman" w:cs="Times New Roman"/>
                <w:b/>
              </w:rPr>
              <w:t xml:space="preserve">/ </w:t>
            </w:r>
            <w:r w:rsidRPr="000941D1">
              <w:rPr>
                <w:rFonts w:ascii="Times New Roman" w:hAnsi="Times New Roman" w:cs="Times New Roman"/>
              </w:rPr>
              <w:t>Ենթադրամաշնորհ</w:t>
            </w:r>
            <w:r w:rsidRPr="00AA07B7">
              <w:rPr>
                <w:rFonts w:ascii="Times New Roman" w:hAnsi="Times New Roman" w:cs="Times New Roman"/>
              </w:rPr>
              <w:t xml:space="preserve"> հանդիսանում են սույն Պայամանգրի միակ կողմերը: Պայմանագիրը և դրան կցված վճարումները որևէ կերպով չեն կարող հատկացվել կամ փոխանցվել երրորդ կողմի:</w:t>
            </w:r>
          </w:p>
        </w:tc>
        <w:tc>
          <w:tcPr>
            <w:tcW w:w="333" w:type="dxa"/>
            <w:gridSpan w:val="2"/>
            <w:tcBorders>
              <w:top w:val="nil"/>
              <w:left w:val="nil"/>
              <w:bottom w:val="nil"/>
              <w:right w:val="nil"/>
            </w:tcBorders>
          </w:tcPr>
          <w:p w14:paraId="4C75EFB8" w14:textId="77777777" w:rsidR="00495ADE" w:rsidRPr="00AA07B7" w:rsidRDefault="00495ADE" w:rsidP="009143E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BED02F7" w14:textId="1C5B5D4E" w:rsidR="00495ADE" w:rsidRPr="00AA07B7" w:rsidRDefault="00495ADE" w:rsidP="009143EB">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1.2 The Yerevan Municipality ‘IPIU Building Up of Yerevan’ CNCO, in its capacity of</w:t>
            </w:r>
            <w:r w:rsidR="00B23CCF" w:rsidRPr="00AA07B7">
              <w:rPr>
                <w:rFonts w:ascii="Times New Roman" w:hAnsi="Times New Roman" w:cs="Times New Roman"/>
              </w:rPr>
              <w:t xml:space="preserve"> Sub-Grantor and the</w:t>
            </w:r>
            <w:r w:rsidRPr="00AA07B7">
              <w:rPr>
                <w:rFonts w:ascii="Times New Roman" w:hAnsi="Times New Roman" w:cs="Times New Roman"/>
              </w:rPr>
              <w:t xml:space="preserve"> </w:t>
            </w:r>
            <w:r w:rsidRPr="000941D1">
              <w:rPr>
                <w:rFonts w:ascii="Times New Roman" w:hAnsi="Times New Roman" w:cs="Times New Roman"/>
              </w:rPr>
              <w:t>Sub-grant</w:t>
            </w:r>
            <w:r w:rsidR="00B23CCF" w:rsidRPr="000941D1">
              <w:rPr>
                <w:rFonts w:ascii="Times New Roman" w:hAnsi="Times New Roman" w:cs="Times New Roman"/>
              </w:rPr>
              <w:t>ee</w:t>
            </w:r>
            <w:r w:rsidRPr="000941D1">
              <w:rPr>
                <w:rFonts w:ascii="Times New Roman" w:hAnsi="Times New Roman" w:cs="Times New Roman"/>
              </w:rPr>
              <w:t xml:space="preserve"> </w:t>
            </w:r>
            <w:r w:rsidRPr="00AA07B7">
              <w:rPr>
                <w:rFonts w:ascii="Times New Roman" w:hAnsi="Times New Roman" w:cs="Times New Roman"/>
                <w:bCs/>
              </w:rPr>
              <w:t>are</w:t>
            </w:r>
            <w:r w:rsidRPr="00AA07B7">
              <w:rPr>
                <w:rFonts w:ascii="Times New Roman" w:hAnsi="Times New Roman" w:cs="Times New Roman"/>
              </w:rPr>
              <w:t xml:space="preserve"> the sole parties to this Contract. The Contract and the payments attached to it cannot be assigned or transferred to a third party in any manner whatsoever.</w:t>
            </w:r>
          </w:p>
        </w:tc>
      </w:tr>
      <w:tr w:rsidR="00495ADE" w:rsidRPr="00717728" w14:paraId="015961C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110AC605" w14:textId="67D05F66" w:rsidR="00495ADE" w:rsidRPr="00AA07B7" w:rsidRDefault="00495ADE" w:rsidP="00683905">
            <w:pPr>
              <w:tabs>
                <w:tab w:val="left" w:pos="6237"/>
              </w:tabs>
              <w:spacing w:before="60" w:after="60" w:line="240" w:lineRule="auto"/>
              <w:jc w:val="both"/>
              <w:rPr>
                <w:rFonts w:ascii="Times New Roman" w:hAnsi="Times New Roman" w:cs="Times New Roman"/>
                <w:lang w:val="hy-AM"/>
              </w:rPr>
            </w:pPr>
            <w:r w:rsidRPr="000941D1">
              <w:rPr>
                <w:rFonts w:ascii="Times New Roman" w:hAnsi="Times New Roman" w:cs="Times New Roman"/>
              </w:rPr>
              <w:lastRenderedPageBreak/>
              <w:t>1.3 Ենթադրամաշնորհառուին</w:t>
            </w:r>
            <w:r w:rsidRPr="00AA07B7">
              <w:rPr>
                <w:rFonts w:ascii="Times New Roman" w:hAnsi="Times New Roman" w:cs="Times New Roman"/>
              </w:rPr>
              <w:t>ենթադրամաշնորհը կշնորհվի՝ սույն Պայամանագրով սահմանված պայմանների համաձայն:</w:t>
            </w:r>
            <w:r w:rsidRPr="000941D1">
              <w:rPr>
                <w:rFonts w:ascii="Times New Roman" w:hAnsi="Times New Roman" w:cs="Times New Roman"/>
                <w:b/>
              </w:rPr>
              <w:t xml:space="preserve"> </w:t>
            </w:r>
          </w:p>
        </w:tc>
        <w:tc>
          <w:tcPr>
            <w:tcW w:w="333" w:type="dxa"/>
            <w:gridSpan w:val="2"/>
            <w:tcBorders>
              <w:top w:val="nil"/>
              <w:left w:val="nil"/>
              <w:bottom w:val="nil"/>
              <w:right w:val="nil"/>
            </w:tcBorders>
          </w:tcPr>
          <w:p w14:paraId="67650627" w14:textId="77777777" w:rsidR="00495ADE" w:rsidRPr="00AA07B7" w:rsidRDefault="00495ADE" w:rsidP="005175F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55B79B8" w14:textId="278C5C41" w:rsidR="00495ADE" w:rsidRPr="00AA07B7" w:rsidRDefault="00495ADE" w:rsidP="005175FB">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1.3 The </w:t>
            </w:r>
            <w:r w:rsidRPr="000941D1">
              <w:rPr>
                <w:rFonts w:ascii="Times New Roman" w:hAnsi="Times New Roman" w:cs="Times New Roman"/>
              </w:rPr>
              <w:t xml:space="preserve">Sub-Grantee </w:t>
            </w:r>
            <w:r w:rsidRPr="00AA07B7">
              <w:rPr>
                <w:rFonts w:ascii="Times New Roman" w:hAnsi="Times New Roman" w:cs="Times New Roman"/>
              </w:rPr>
              <w:t>shall be awarded the sub-grant on the terms and conditions set out in this Contract.</w:t>
            </w:r>
          </w:p>
        </w:tc>
      </w:tr>
      <w:tr w:rsidR="00495ADE" w:rsidRPr="00717728" w14:paraId="5669057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776C8B27" w14:textId="6B62AE3F" w:rsidR="00495ADE" w:rsidRPr="00AA07B7" w:rsidRDefault="00495ADE" w:rsidP="00683905">
            <w:pPr>
              <w:tabs>
                <w:tab w:val="left" w:pos="6237"/>
              </w:tabs>
              <w:autoSpaceDE w:val="0"/>
              <w:autoSpaceDN w:val="0"/>
              <w:adjustRightInd w:val="0"/>
              <w:spacing w:before="60" w:after="60" w:line="240" w:lineRule="auto"/>
              <w:jc w:val="both"/>
              <w:rPr>
                <w:rFonts w:ascii="Times New Roman" w:hAnsi="Times New Roman" w:cs="Times New Roman"/>
                <w:lang w:val="hy-AM"/>
              </w:rPr>
            </w:pPr>
            <w:r w:rsidRPr="000941D1">
              <w:rPr>
                <w:rFonts w:ascii="Times New Roman" w:hAnsi="Times New Roman" w:cs="Times New Roman"/>
              </w:rPr>
              <w:t xml:space="preserve">1.4 Ենթադրամաշնորհառունընդունում են </w:t>
            </w:r>
            <w:r w:rsidRPr="00AA07B7">
              <w:rPr>
                <w:rFonts w:ascii="Times New Roman" w:hAnsi="Times New Roman" w:cs="Times New Roman"/>
              </w:rPr>
              <w:t xml:space="preserve">դրամաշնորհը և </w:t>
            </w:r>
            <w:r w:rsidRPr="000941D1">
              <w:rPr>
                <w:rFonts w:ascii="Times New Roman" w:hAnsi="Times New Roman" w:cs="Times New Roman"/>
              </w:rPr>
              <w:t xml:space="preserve">պարտավորվում </w:t>
            </w:r>
            <w:r w:rsidRPr="00AA07B7">
              <w:rPr>
                <w:rFonts w:ascii="Times New Roman" w:hAnsi="Times New Roman" w:cs="Times New Roman"/>
              </w:rPr>
              <w:t>իրականացնել Գործողությունը՝ համաձայն սույն ենթադրամաշնորհի Պայմանագրի դրույթների: Ենթադրամաշնորհառուն հանդես է գալիս որպես Ենթադրամաշնորհի համաշահառու(ներ)ի համակարգող և նրա/նրանց անունից զեկուցում Ենթադրամաշնորհատուին:</w:t>
            </w:r>
          </w:p>
        </w:tc>
        <w:tc>
          <w:tcPr>
            <w:tcW w:w="333" w:type="dxa"/>
            <w:gridSpan w:val="2"/>
            <w:tcBorders>
              <w:top w:val="nil"/>
              <w:left w:val="nil"/>
              <w:bottom w:val="nil"/>
              <w:right w:val="nil"/>
            </w:tcBorders>
          </w:tcPr>
          <w:p w14:paraId="78F750DF" w14:textId="77777777" w:rsidR="00495ADE" w:rsidRPr="00AA07B7" w:rsidRDefault="00495ADE" w:rsidP="00622CF7">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1A23470A" w14:textId="4D231369" w:rsidR="00495ADE" w:rsidRPr="00AA07B7" w:rsidRDefault="00495ADE" w:rsidP="00622CF7">
            <w:pPr>
              <w:spacing w:after="120" w:line="259" w:lineRule="auto"/>
              <w:contextualSpacing/>
              <w:jc w:val="both"/>
              <w:rPr>
                <w:rFonts w:ascii="Times New Roman" w:hAnsi="Times New Roman" w:cs="Times New Roman"/>
              </w:rPr>
            </w:pPr>
            <w:r w:rsidRPr="00AA07B7">
              <w:rPr>
                <w:rFonts w:ascii="Times New Roman" w:hAnsi="Times New Roman" w:cs="Times New Roman"/>
              </w:rPr>
              <w:t xml:space="preserve">1.4 The </w:t>
            </w:r>
            <w:r w:rsidRPr="000941D1">
              <w:rPr>
                <w:rFonts w:ascii="Times New Roman" w:hAnsi="Times New Roman" w:cs="Times New Roman"/>
              </w:rPr>
              <w:t xml:space="preserve">Sub-Grantee accepts </w:t>
            </w:r>
            <w:r w:rsidRPr="00AA07B7">
              <w:rPr>
                <w:rFonts w:ascii="Times New Roman" w:hAnsi="Times New Roman" w:cs="Times New Roman"/>
              </w:rPr>
              <w:t>the grant and to be responsible for carrying out the Action in accordance with the provisions of this Sub-Grant Contract. The Sub-Grantee shall act as Coordinator and report to the Cont</w:t>
            </w:r>
            <w:r w:rsidR="00CA0714" w:rsidRPr="00AA07B7">
              <w:rPr>
                <w:rFonts w:ascii="Times New Roman" w:hAnsi="Times New Roman" w:cs="Times New Roman"/>
              </w:rPr>
              <w:t>r</w:t>
            </w:r>
            <w:r w:rsidRPr="00AA07B7">
              <w:rPr>
                <w:rFonts w:ascii="Times New Roman" w:hAnsi="Times New Roman" w:cs="Times New Roman"/>
              </w:rPr>
              <w:t>acting Authority.</w:t>
            </w:r>
          </w:p>
        </w:tc>
      </w:tr>
      <w:tr w:rsidR="00495ADE" w:rsidRPr="00717728" w14:paraId="5E0A1A0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5F097105" w14:textId="120AD367" w:rsidR="00495ADE" w:rsidRPr="00AA07B7" w:rsidRDefault="00495ADE" w:rsidP="00111CCC">
            <w:pPr>
              <w:tabs>
                <w:tab w:val="left" w:pos="6237"/>
              </w:tabs>
              <w:autoSpaceDE w:val="0"/>
              <w:autoSpaceDN w:val="0"/>
              <w:adjustRightInd w:val="0"/>
              <w:spacing w:before="60" w:after="60" w:line="240" w:lineRule="auto"/>
              <w:jc w:val="both"/>
              <w:rPr>
                <w:rFonts w:ascii="Times New Roman" w:hAnsi="Times New Roman" w:cs="Times New Roman"/>
                <w:lang w:val="hy-AM"/>
              </w:rPr>
            </w:pPr>
            <w:r w:rsidRPr="00AA07B7">
              <w:rPr>
                <w:rFonts w:ascii="Times New Roman" w:hAnsi="Times New Roman" w:cs="Times New Roman"/>
              </w:rPr>
              <w:t>1.5 Կողմերը պարտավորվում են աշխատել համագործակցության և գործընկերության ոգով, ներդնել առավելագույն ջանքերը՝ Գործողության սահուն իրականացումն ու կառավարումը ապահովելու նպատակով՝ համաձայն սույն Պայամանգրի պայմանների և կիրառելի օրենսդրության պահանջների:</w:t>
            </w:r>
            <w:r w:rsidRPr="00AA07B7">
              <w:rPr>
                <w:rFonts w:ascii="Times New Roman" w:hAnsi="Times New Roman" w:cs="Times New Roman"/>
                <w:lang w:val="hy-AM"/>
              </w:rPr>
              <w:t xml:space="preserve"> </w:t>
            </w:r>
          </w:p>
        </w:tc>
        <w:tc>
          <w:tcPr>
            <w:tcW w:w="333" w:type="dxa"/>
            <w:gridSpan w:val="2"/>
            <w:tcBorders>
              <w:top w:val="nil"/>
              <w:left w:val="nil"/>
              <w:bottom w:val="nil"/>
              <w:right w:val="nil"/>
            </w:tcBorders>
          </w:tcPr>
          <w:p w14:paraId="20147317" w14:textId="77777777" w:rsidR="00495ADE" w:rsidRPr="00AA07B7" w:rsidRDefault="00495ADE" w:rsidP="003A7701">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54E697C7" w14:textId="42E681F5" w:rsidR="00495ADE" w:rsidRPr="00AA07B7" w:rsidRDefault="00495ADE" w:rsidP="003A7701">
            <w:pPr>
              <w:spacing w:after="120" w:line="259" w:lineRule="auto"/>
              <w:contextualSpacing/>
              <w:jc w:val="both"/>
              <w:rPr>
                <w:rFonts w:ascii="Times New Roman" w:hAnsi="Times New Roman" w:cs="Times New Roman"/>
              </w:rPr>
            </w:pPr>
            <w:r w:rsidRPr="00AA07B7">
              <w:rPr>
                <w:rFonts w:ascii="Times New Roman" w:hAnsi="Times New Roman" w:cs="Times New Roman"/>
              </w:rPr>
              <w:t>1.5 The Parties commit to work in a spirit of cooperation and partnership, to employ their best efforts to ensure that the Action is soundly implemented and administered in accordance with the terms of this Contract, and the requirements of applicable legislation.</w:t>
            </w:r>
          </w:p>
          <w:p w14:paraId="0841C408" w14:textId="77777777" w:rsidR="00495ADE" w:rsidRPr="00AA07B7" w:rsidRDefault="00495ADE" w:rsidP="003A7701">
            <w:pPr>
              <w:tabs>
                <w:tab w:val="left" w:pos="6237"/>
              </w:tabs>
              <w:spacing w:before="60" w:after="60" w:line="240" w:lineRule="auto"/>
              <w:contextualSpacing/>
              <w:jc w:val="both"/>
              <w:rPr>
                <w:rFonts w:ascii="Times New Roman" w:hAnsi="Times New Roman" w:cs="Times New Roman"/>
              </w:rPr>
            </w:pPr>
          </w:p>
        </w:tc>
      </w:tr>
      <w:tr w:rsidR="00495ADE" w:rsidRPr="00717728" w14:paraId="2F58B22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1C577016" w14:textId="23EFB95A" w:rsidR="00495ADE" w:rsidRPr="00717728" w:rsidRDefault="00495ADE" w:rsidP="00111CCC">
            <w:pPr>
              <w:tabs>
                <w:tab w:val="left" w:pos="6237"/>
              </w:tabs>
              <w:autoSpaceDE w:val="0"/>
              <w:autoSpaceDN w:val="0"/>
              <w:adjustRightInd w:val="0"/>
              <w:spacing w:before="60" w:after="60" w:line="240" w:lineRule="auto"/>
              <w:jc w:val="both"/>
              <w:rPr>
                <w:rFonts w:ascii="Times New Roman" w:hAnsi="Times New Roman" w:cs="Times New Roman"/>
                <w:b/>
                <w:lang w:val="hy-AM"/>
              </w:rPr>
            </w:pPr>
            <w:bookmarkStart w:id="2" w:name="_Toc70236969"/>
            <w:r w:rsidRPr="00717728">
              <w:rPr>
                <w:rFonts w:ascii="Times New Roman" w:hAnsi="Times New Roman" w:cs="Times New Roman"/>
                <w:b/>
              </w:rPr>
              <w:t>ՀՈԴՎԱԾ 2 — Գործողության իրականացման ժամկետ</w:t>
            </w:r>
            <w:bookmarkEnd w:id="2"/>
          </w:p>
        </w:tc>
        <w:tc>
          <w:tcPr>
            <w:tcW w:w="333" w:type="dxa"/>
            <w:gridSpan w:val="2"/>
            <w:tcBorders>
              <w:top w:val="nil"/>
              <w:left w:val="nil"/>
              <w:bottom w:val="nil"/>
              <w:right w:val="nil"/>
            </w:tcBorders>
          </w:tcPr>
          <w:p w14:paraId="6E6037D0" w14:textId="77777777" w:rsidR="00495ADE" w:rsidRPr="00717728" w:rsidRDefault="00495ADE" w:rsidP="00D15986">
            <w:pPr>
              <w:tabs>
                <w:tab w:val="left" w:pos="6237"/>
              </w:tabs>
              <w:spacing w:before="60" w:after="60" w:line="240" w:lineRule="auto"/>
              <w:contextualSpacing/>
              <w:jc w:val="both"/>
              <w:rPr>
                <w:rFonts w:ascii="Times New Roman" w:hAnsi="Times New Roman" w:cs="Times New Roman"/>
                <w:b/>
              </w:rPr>
            </w:pPr>
          </w:p>
        </w:tc>
        <w:tc>
          <w:tcPr>
            <w:tcW w:w="3895" w:type="dxa"/>
            <w:tcBorders>
              <w:top w:val="nil"/>
              <w:left w:val="nil"/>
              <w:bottom w:val="nil"/>
              <w:right w:val="nil"/>
            </w:tcBorders>
          </w:tcPr>
          <w:p w14:paraId="6173B7A2" w14:textId="4B900016" w:rsidR="00495ADE" w:rsidRPr="00717728" w:rsidRDefault="00495ADE" w:rsidP="00D15986">
            <w:pPr>
              <w:tabs>
                <w:tab w:val="left" w:pos="6237"/>
              </w:tabs>
              <w:spacing w:before="60" w:after="60" w:line="240" w:lineRule="auto"/>
              <w:contextualSpacing/>
              <w:jc w:val="both"/>
              <w:rPr>
                <w:rFonts w:ascii="Times New Roman" w:hAnsi="Times New Roman" w:cs="Times New Roman"/>
                <w:b/>
              </w:rPr>
            </w:pPr>
            <w:bookmarkStart w:id="3" w:name="_Toc67590169"/>
            <w:r w:rsidRPr="00717728">
              <w:rPr>
                <w:rFonts w:ascii="Times New Roman" w:hAnsi="Times New Roman" w:cs="Times New Roman"/>
                <w:b/>
              </w:rPr>
              <w:t xml:space="preserve">ARTICLE 2 — Implementation period of the </w:t>
            </w:r>
            <w:bookmarkEnd w:id="3"/>
            <w:r>
              <w:rPr>
                <w:rFonts w:ascii="Times New Roman" w:hAnsi="Times New Roman" w:cs="Times New Roman"/>
                <w:b/>
              </w:rPr>
              <w:t>A</w:t>
            </w:r>
            <w:r w:rsidRPr="00717728">
              <w:rPr>
                <w:rFonts w:ascii="Times New Roman" w:hAnsi="Times New Roman" w:cs="Times New Roman"/>
                <w:b/>
              </w:rPr>
              <w:t>ction</w:t>
            </w:r>
          </w:p>
        </w:tc>
      </w:tr>
      <w:tr w:rsidR="00495ADE" w:rsidRPr="00717728" w14:paraId="11C1922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4F658457" w14:textId="079EDB82" w:rsidR="00495ADE" w:rsidRPr="00717728" w:rsidRDefault="00495ADE" w:rsidP="00147E0D">
            <w:pPr>
              <w:tabs>
                <w:tab w:val="left" w:pos="6237"/>
              </w:tabs>
              <w:autoSpaceDE w:val="0"/>
              <w:autoSpaceDN w:val="0"/>
              <w:adjustRightInd w:val="0"/>
              <w:spacing w:before="60" w:after="60" w:line="240" w:lineRule="auto"/>
              <w:jc w:val="both"/>
              <w:rPr>
                <w:rFonts w:ascii="Times New Roman" w:hAnsi="Times New Roman" w:cs="Times New Roman"/>
              </w:rPr>
            </w:pPr>
            <w:r w:rsidRPr="00717728">
              <w:rPr>
                <w:rFonts w:ascii="Times New Roman" w:hAnsi="Times New Roman" w:cs="Times New Roman"/>
              </w:rPr>
              <w:t xml:space="preserve">2.1 Պայմանագիրն ուժի մեջ է մտնում և Գործողության իրականացումը սկսվում է երկու </w:t>
            </w:r>
            <w:r>
              <w:rPr>
                <w:rFonts w:ascii="Times New Roman" w:hAnsi="Times New Roman" w:cs="Times New Roman"/>
              </w:rPr>
              <w:t>Կ</w:t>
            </w:r>
            <w:r w:rsidRPr="00717728">
              <w:rPr>
                <w:rFonts w:ascii="Times New Roman" w:hAnsi="Times New Roman" w:cs="Times New Roman"/>
              </w:rPr>
              <w:t>ողմեր</w:t>
            </w:r>
            <w:r>
              <w:rPr>
                <w:rFonts w:ascii="Times New Roman" w:hAnsi="Times New Roman" w:cs="Times New Roman"/>
              </w:rPr>
              <w:t>ի կողմից պայմանագրի ստորագրման վերջին ամսաթվից:</w:t>
            </w:r>
            <w:r w:rsidRPr="00717728">
              <w:rPr>
                <w:rFonts w:ascii="Times New Roman" w:hAnsi="Times New Roman" w:cs="Times New Roman"/>
              </w:rPr>
              <w:t xml:space="preserve"> </w:t>
            </w:r>
          </w:p>
        </w:tc>
        <w:tc>
          <w:tcPr>
            <w:tcW w:w="333" w:type="dxa"/>
            <w:gridSpan w:val="2"/>
            <w:tcBorders>
              <w:top w:val="nil"/>
              <w:left w:val="nil"/>
              <w:bottom w:val="nil"/>
              <w:right w:val="nil"/>
            </w:tcBorders>
          </w:tcPr>
          <w:p w14:paraId="402EC805" w14:textId="77777777" w:rsidR="00495ADE" w:rsidRPr="00717728" w:rsidRDefault="00495ADE" w:rsidP="00147E0D">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492E0AA" w14:textId="7C4A0F02" w:rsidR="00495ADE" w:rsidRPr="00717728" w:rsidRDefault="00495ADE" w:rsidP="00147E0D">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2.1 </w:t>
            </w:r>
            <w:r w:rsidRPr="00717728">
              <w:rPr>
                <w:rFonts w:ascii="Times New Roman" w:hAnsi="Times New Roman" w:cs="Times New Roman"/>
                <w:snapToGrid w:val="0"/>
              </w:rPr>
              <w:t>This Contract shall enter into force and t</w:t>
            </w:r>
            <w:r w:rsidRPr="00717728">
              <w:rPr>
                <w:rFonts w:ascii="Times New Roman" w:hAnsi="Times New Roman" w:cs="Times New Roman"/>
              </w:rPr>
              <w:t xml:space="preserve">he Implementation of the Action shall begin on </w:t>
            </w:r>
            <w:r w:rsidRPr="00717728">
              <w:rPr>
                <w:rFonts w:ascii="Times New Roman" w:hAnsi="Times New Roman" w:cs="Times New Roman"/>
                <w:snapToGrid w:val="0"/>
              </w:rPr>
              <w:t xml:space="preserve">the </w:t>
            </w:r>
            <w:r>
              <w:rPr>
                <w:rFonts w:ascii="Times New Roman" w:hAnsi="Times New Roman" w:cs="Times New Roman"/>
                <w:snapToGrid w:val="0"/>
              </w:rPr>
              <w:t xml:space="preserve">date last Party signs the agreement. </w:t>
            </w:r>
          </w:p>
        </w:tc>
      </w:tr>
      <w:tr w:rsidR="00495ADE" w:rsidRPr="00717728" w14:paraId="5942CB7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40C1052A" w14:textId="4CC6C33D" w:rsidR="00495ADE" w:rsidRPr="00717728" w:rsidRDefault="00495ADE" w:rsidP="00111CCC">
            <w:pPr>
              <w:tabs>
                <w:tab w:val="left" w:pos="6237"/>
              </w:tabs>
              <w:autoSpaceDE w:val="0"/>
              <w:autoSpaceDN w:val="0"/>
              <w:adjustRightInd w:val="0"/>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2.2 Գործողության իրականացման ժամկետը, ըստ Հավելված I-ի, </w:t>
            </w:r>
            <w:r w:rsidRPr="00717728">
              <w:rPr>
                <w:rFonts w:ascii="Times New Roman" w:hAnsi="Times New Roman" w:cs="Times New Roman"/>
                <w:highlight w:val="yellow"/>
              </w:rPr>
              <w:t>&lt;թիվ&gt;</w:t>
            </w:r>
            <w:r w:rsidRPr="00717728">
              <w:rPr>
                <w:rFonts w:ascii="Times New Roman" w:hAnsi="Times New Roman" w:cs="Times New Roman"/>
              </w:rPr>
              <w:t xml:space="preserve"> ամիս է:</w:t>
            </w:r>
          </w:p>
        </w:tc>
        <w:tc>
          <w:tcPr>
            <w:tcW w:w="333" w:type="dxa"/>
            <w:gridSpan w:val="2"/>
            <w:tcBorders>
              <w:top w:val="nil"/>
              <w:left w:val="nil"/>
              <w:bottom w:val="nil"/>
              <w:right w:val="nil"/>
            </w:tcBorders>
          </w:tcPr>
          <w:p w14:paraId="1C8580CE" w14:textId="77777777" w:rsidR="00495ADE" w:rsidRPr="00717728" w:rsidRDefault="00495ADE" w:rsidP="0052546C">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7EFE576" w14:textId="5DBC513D" w:rsidR="00495ADE" w:rsidRPr="00717728" w:rsidRDefault="00495ADE" w:rsidP="0052546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2.2 The implementation period of the Action, as laid down in Annex I, is &lt;</w:t>
            </w:r>
            <w:r w:rsidRPr="00717728">
              <w:rPr>
                <w:rFonts w:ascii="Times New Roman" w:hAnsi="Times New Roman" w:cs="Times New Roman"/>
                <w:highlight w:val="yellow"/>
              </w:rPr>
              <w:t xml:space="preserve">number&gt; </w:t>
            </w:r>
            <w:r w:rsidRPr="00717728">
              <w:rPr>
                <w:rFonts w:ascii="Times New Roman" w:hAnsi="Times New Roman" w:cs="Times New Roman"/>
              </w:rPr>
              <w:t>months.</w:t>
            </w:r>
          </w:p>
        </w:tc>
      </w:tr>
      <w:tr w:rsidR="00495ADE" w:rsidRPr="00717728" w14:paraId="40ECB50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1AF6E0C4" w14:textId="219C6AED" w:rsidR="00495ADE" w:rsidRPr="00717728" w:rsidRDefault="00495ADE" w:rsidP="00111CCC">
            <w:pPr>
              <w:spacing w:after="120" w:line="256" w:lineRule="auto"/>
              <w:contextualSpacing/>
              <w:jc w:val="both"/>
              <w:rPr>
                <w:rFonts w:ascii="Times New Roman" w:hAnsi="Times New Roman" w:cs="Times New Roman"/>
              </w:rPr>
            </w:pPr>
            <w:r w:rsidRPr="00717728">
              <w:rPr>
                <w:rFonts w:ascii="Times New Roman" w:hAnsi="Times New Roman" w:cs="Times New Roman"/>
              </w:rPr>
              <w:t xml:space="preserve">2.3 Պայմանագրի ուժի մեջ մտնելու պահից 10 աշխատանքային օրվա ընթացքում Ենթադրամաշնորհառուն պետք է </w:t>
            </w:r>
            <w:r>
              <w:rPr>
                <w:rFonts w:ascii="Times New Roman" w:hAnsi="Times New Roman" w:cs="Times New Roman"/>
              </w:rPr>
              <w:t>Ենթադրամաշնորհատ</w:t>
            </w:r>
            <w:r w:rsidRPr="00717728">
              <w:rPr>
                <w:rFonts w:ascii="Times New Roman" w:hAnsi="Times New Roman" w:cs="Times New Roman"/>
              </w:rPr>
              <w:t xml:space="preserve">ուին ներկայացնի </w:t>
            </w:r>
          </w:p>
          <w:p w14:paraId="0C19760E" w14:textId="60E79254" w:rsidR="00495ADE" w:rsidRPr="00717728" w:rsidRDefault="00495ADE" w:rsidP="000941D1">
            <w:pPr>
              <w:pStyle w:val="ListParagraph"/>
              <w:numPr>
                <w:ilvl w:val="0"/>
                <w:numId w:val="1"/>
              </w:numPr>
              <w:spacing w:after="120" w:line="256" w:lineRule="auto"/>
              <w:jc w:val="both"/>
              <w:rPr>
                <w:rFonts w:ascii="Times New Roman" w:hAnsi="Times New Roman" w:cs="Times New Roman"/>
              </w:rPr>
            </w:pPr>
            <w:r w:rsidRPr="00717728">
              <w:rPr>
                <w:rFonts w:ascii="Times New Roman" w:hAnsi="Times New Roman" w:cs="Times New Roman"/>
              </w:rPr>
              <w:t xml:space="preserve">գնումների պլանը՝ ծրագրի ողջ տևողության համար: Գնումների պլանի կազմման ձևաչափը պետք է տրամադրվի </w:t>
            </w:r>
            <w:r>
              <w:rPr>
                <w:rFonts w:ascii="Times New Roman" w:hAnsi="Times New Roman" w:cs="Times New Roman"/>
              </w:rPr>
              <w:t>Ենթադրամաշնորհատ</w:t>
            </w:r>
            <w:r w:rsidRPr="00717728">
              <w:rPr>
                <w:rFonts w:ascii="Times New Roman" w:hAnsi="Times New Roman" w:cs="Times New Roman"/>
              </w:rPr>
              <w:t xml:space="preserve">ուի կողմից Պայմանագիրը կնքելուց հետո, </w:t>
            </w:r>
          </w:p>
          <w:p w14:paraId="53B605F8" w14:textId="00AF5BAE" w:rsidR="00495ADE" w:rsidRPr="00717728" w:rsidRDefault="00495ADE" w:rsidP="00111CCC">
            <w:pPr>
              <w:spacing w:after="120" w:line="256" w:lineRule="auto"/>
              <w:jc w:val="both"/>
              <w:rPr>
                <w:rFonts w:ascii="Times New Roman" w:hAnsi="Times New Roman" w:cs="Times New Roman"/>
                <w:lang w:val="hy-AM"/>
              </w:rPr>
            </w:pPr>
            <w:r w:rsidRPr="00717728">
              <w:rPr>
                <w:rFonts w:ascii="Times New Roman" w:hAnsi="Times New Roman" w:cs="Times New Roman"/>
                <w:lang w:val="hy-AM"/>
              </w:rPr>
              <w:t xml:space="preserve">Գնումների պլանը ենթակա է </w:t>
            </w:r>
            <w:r>
              <w:rPr>
                <w:rFonts w:ascii="Times New Roman" w:hAnsi="Times New Roman" w:cs="Times New Roman"/>
                <w:lang w:val="hy-AM"/>
              </w:rPr>
              <w:t>Ենթադրամաշնորհատ</w:t>
            </w:r>
            <w:r w:rsidRPr="00717728">
              <w:rPr>
                <w:rFonts w:ascii="Times New Roman" w:hAnsi="Times New Roman" w:cs="Times New Roman"/>
                <w:lang w:val="hy-AM"/>
              </w:rPr>
              <w:t xml:space="preserve">ուի հաստատմանը: </w:t>
            </w:r>
          </w:p>
        </w:tc>
        <w:tc>
          <w:tcPr>
            <w:tcW w:w="333" w:type="dxa"/>
            <w:gridSpan w:val="2"/>
            <w:tcBorders>
              <w:top w:val="nil"/>
              <w:left w:val="nil"/>
              <w:bottom w:val="nil"/>
              <w:right w:val="nil"/>
            </w:tcBorders>
          </w:tcPr>
          <w:p w14:paraId="699EEE0E" w14:textId="77777777" w:rsidR="00495ADE" w:rsidRPr="00495ADE" w:rsidRDefault="00495ADE" w:rsidP="003A7701">
            <w:pPr>
              <w:spacing w:after="120" w:line="259" w:lineRule="auto"/>
              <w:ind w:left="284" w:hanging="284"/>
              <w:contextualSpacing/>
              <w:jc w:val="both"/>
              <w:rPr>
                <w:rFonts w:ascii="Times New Roman" w:hAnsi="Times New Roman" w:cs="Times New Roman"/>
                <w:lang w:val="hy-AM"/>
              </w:rPr>
            </w:pPr>
          </w:p>
        </w:tc>
        <w:tc>
          <w:tcPr>
            <w:tcW w:w="3895" w:type="dxa"/>
            <w:tcBorders>
              <w:top w:val="nil"/>
              <w:left w:val="nil"/>
              <w:bottom w:val="nil"/>
              <w:right w:val="nil"/>
            </w:tcBorders>
          </w:tcPr>
          <w:p w14:paraId="5B27AE48" w14:textId="26BF820B" w:rsidR="00495ADE" w:rsidRPr="00717728" w:rsidRDefault="00495ADE" w:rsidP="000941D1">
            <w:pPr>
              <w:spacing w:after="120" w:line="259" w:lineRule="auto"/>
              <w:ind w:left="284" w:hanging="284"/>
              <w:contextualSpacing/>
              <w:jc w:val="both"/>
              <w:rPr>
                <w:rFonts w:ascii="Times New Roman" w:hAnsi="Times New Roman" w:cs="Times New Roman"/>
              </w:rPr>
            </w:pPr>
            <w:r w:rsidRPr="00717728">
              <w:rPr>
                <w:rFonts w:ascii="Times New Roman" w:hAnsi="Times New Roman" w:cs="Times New Roman"/>
              </w:rPr>
              <w:t xml:space="preserve">2.3 Within 10 working days from the Sub-Grant Contract entry into force, the Sub-Grantee shall present to the </w:t>
            </w:r>
            <w:r>
              <w:rPr>
                <w:rFonts w:ascii="Times New Roman" w:hAnsi="Times New Roman" w:cs="Times New Roman"/>
              </w:rPr>
              <w:t>Sub-grantor</w:t>
            </w:r>
            <w:r w:rsidRPr="00717728">
              <w:rPr>
                <w:rFonts w:ascii="Times New Roman" w:hAnsi="Times New Roman" w:cs="Times New Roman"/>
              </w:rPr>
              <w:t xml:space="preserve"> the Procurement Plan for the whole project period. The Procurement Plan preparation format shall be provided by the </w:t>
            </w:r>
            <w:r>
              <w:rPr>
                <w:rFonts w:ascii="Times New Roman" w:hAnsi="Times New Roman" w:cs="Times New Roman"/>
              </w:rPr>
              <w:t>Sub-grantor</w:t>
            </w:r>
            <w:r w:rsidRPr="00717728">
              <w:rPr>
                <w:rFonts w:ascii="Times New Roman" w:hAnsi="Times New Roman" w:cs="Times New Roman"/>
              </w:rPr>
              <w:t xml:space="preserve"> upon Contract signature.</w:t>
            </w:r>
          </w:p>
          <w:p w14:paraId="090FDF0D" w14:textId="6CB1081B" w:rsidR="00495ADE" w:rsidRPr="00717728" w:rsidRDefault="00495ADE" w:rsidP="00CA0714">
            <w:pPr>
              <w:spacing w:after="120" w:line="259" w:lineRule="auto"/>
              <w:ind w:left="262"/>
              <w:contextualSpacing/>
              <w:jc w:val="both"/>
              <w:rPr>
                <w:rFonts w:ascii="Times New Roman" w:hAnsi="Times New Roman" w:cs="Times New Roman"/>
              </w:rPr>
            </w:pPr>
            <w:r w:rsidRPr="00717728">
              <w:rPr>
                <w:rFonts w:ascii="Times New Roman" w:hAnsi="Times New Roman" w:cs="Times New Roman"/>
              </w:rPr>
              <w:t xml:space="preserve">The Procurement Plan shall be approved by the </w:t>
            </w:r>
            <w:r>
              <w:rPr>
                <w:rFonts w:ascii="Times New Roman" w:hAnsi="Times New Roman" w:cs="Times New Roman"/>
              </w:rPr>
              <w:t>Sub-grantor</w:t>
            </w:r>
            <w:r w:rsidRPr="00717728">
              <w:rPr>
                <w:rFonts w:ascii="Times New Roman" w:hAnsi="Times New Roman" w:cs="Times New Roman"/>
              </w:rPr>
              <w:t>.</w:t>
            </w:r>
          </w:p>
        </w:tc>
      </w:tr>
      <w:tr w:rsidR="00495ADE" w:rsidRPr="00717728" w14:paraId="61D3AFC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45820685" w14:textId="28B917D9" w:rsidR="00495ADE" w:rsidRPr="00717728" w:rsidRDefault="00495ADE" w:rsidP="00111CCC">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b/>
              </w:rPr>
              <w:t>ՀՈԴՎԱԾ 3 — Գործողության ֆինանսավորում</w:t>
            </w:r>
            <w:r w:rsidRPr="00717728">
              <w:rPr>
                <w:rStyle w:val="FootnoteReference"/>
                <w:rFonts w:ascii="Times New Roman" w:hAnsi="Times New Roman" w:cs="Times New Roman"/>
              </w:rPr>
              <w:footnoteReference w:id="1"/>
            </w:r>
          </w:p>
        </w:tc>
        <w:tc>
          <w:tcPr>
            <w:tcW w:w="333" w:type="dxa"/>
            <w:gridSpan w:val="2"/>
            <w:tcBorders>
              <w:top w:val="nil"/>
              <w:left w:val="nil"/>
              <w:bottom w:val="nil"/>
              <w:right w:val="nil"/>
            </w:tcBorders>
          </w:tcPr>
          <w:p w14:paraId="00227A14" w14:textId="77777777" w:rsidR="00495ADE" w:rsidRPr="00717728" w:rsidRDefault="00495ADE" w:rsidP="0052546C">
            <w:pPr>
              <w:pStyle w:val="ListParagraph"/>
              <w:tabs>
                <w:tab w:val="left" w:pos="6237"/>
              </w:tabs>
              <w:spacing w:before="60" w:after="60" w:line="240" w:lineRule="auto"/>
              <w:ind w:left="312"/>
              <w:contextualSpacing w:val="0"/>
              <w:jc w:val="both"/>
              <w:rPr>
                <w:rFonts w:ascii="Times New Roman" w:hAnsi="Times New Roman" w:cs="Times New Roman"/>
                <w:b/>
              </w:rPr>
            </w:pPr>
          </w:p>
        </w:tc>
        <w:tc>
          <w:tcPr>
            <w:tcW w:w="3895" w:type="dxa"/>
            <w:tcBorders>
              <w:top w:val="nil"/>
              <w:left w:val="nil"/>
              <w:bottom w:val="nil"/>
              <w:right w:val="nil"/>
            </w:tcBorders>
          </w:tcPr>
          <w:p w14:paraId="284107C4" w14:textId="111F7D9C" w:rsidR="00495ADE" w:rsidRPr="00717728" w:rsidRDefault="00495ADE" w:rsidP="0052546C">
            <w:pPr>
              <w:pStyle w:val="ListParagraph"/>
              <w:tabs>
                <w:tab w:val="left" w:pos="6237"/>
              </w:tabs>
              <w:spacing w:before="60" w:after="60" w:line="240" w:lineRule="auto"/>
              <w:ind w:left="312"/>
              <w:contextualSpacing w:val="0"/>
              <w:jc w:val="both"/>
              <w:rPr>
                <w:rFonts w:ascii="Times New Roman" w:hAnsi="Times New Roman" w:cs="Times New Roman"/>
                <w:b/>
              </w:rPr>
            </w:pPr>
            <w:bookmarkStart w:id="4" w:name="_Toc67590170"/>
            <w:r w:rsidRPr="00717728">
              <w:rPr>
                <w:rFonts w:ascii="Times New Roman" w:hAnsi="Times New Roman" w:cs="Times New Roman"/>
                <w:b/>
              </w:rPr>
              <w:t>ARTICLE 3 — Financing the Action</w:t>
            </w:r>
            <w:r w:rsidRPr="00717728">
              <w:rPr>
                <w:rStyle w:val="FootnoteReference"/>
                <w:rFonts w:ascii="Times New Roman" w:hAnsi="Times New Roman" w:cs="Times New Roman"/>
                <w:b/>
              </w:rPr>
              <w:footnoteReference w:id="2"/>
            </w:r>
            <w:bookmarkEnd w:id="4"/>
          </w:p>
        </w:tc>
      </w:tr>
      <w:tr w:rsidR="00495ADE" w:rsidRPr="00717728" w14:paraId="37A32B1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5E590647" w14:textId="06FAA6BE" w:rsidR="00495ADE" w:rsidRPr="00717728" w:rsidRDefault="00495ADE" w:rsidP="00111CCC">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3.1 Ընդհանուր թույլատրելի ծախսերը գնահատվում են</w:t>
            </w:r>
            <w:r w:rsidRPr="00717728">
              <w:rPr>
                <w:rStyle w:val="CommentReference"/>
                <w:rFonts w:ascii="Times New Roman" w:hAnsi="Times New Roman" w:cs="Times New Roman"/>
              </w:rPr>
              <w:t xml:space="preserve"> </w:t>
            </w:r>
            <w:r w:rsidRPr="00717728">
              <w:rPr>
                <w:rFonts w:ascii="Times New Roman" w:hAnsi="Times New Roman" w:cs="Times New Roman"/>
                <w:highlight w:val="yellow"/>
              </w:rPr>
              <w:t>&lt;գումարի չափը</w:t>
            </w:r>
            <w:r w:rsidRPr="00717728">
              <w:rPr>
                <w:rFonts w:ascii="Times New Roman" w:hAnsi="Times New Roman" w:cs="Times New Roman"/>
              </w:rPr>
              <w:t>&gt; ՀՀ դրամ՝ ըստ Հավելված II-ի:</w:t>
            </w:r>
          </w:p>
        </w:tc>
        <w:tc>
          <w:tcPr>
            <w:tcW w:w="333" w:type="dxa"/>
            <w:gridSpan w:val="2"/>
            <w:tcBorders>
              <w:top w:val="nil"/>
              <w:left w:val="nil"/>
              <w:bottom w:val="nil"/>
              <w:right w:val="nil"/>
            </w:tcBorders>
          </w:tcPr>
          <w:p w14:paraId="5B60E831" w14:textId="77777777" w:rsidR="00495ADE" w:rsidRPr="00717728" w:rsidRDefault="00495ADE" w:rsidP="0052546C">
            <w:pPr>
              <w:tabs>
                <w:tab w:val="left" w:pos="6237"/>
              </w:tabs>
              <w:spacing w:before="60" w:after="60" w:line="240" w:lineRule="auto"/>
              <w:ind w:left="-48"/>
              <w:jc w:val="both"/>
              <w:rPr>
                <w:rFonts w:ascii="Times New Roman" w:hAnsi="Times New Roman" w:cs="Times New Roman"/>
              </w:rPr>
            </w:pPr>
          </w:p>
        </w:tc>
        <w:tc>
          <w:tcPr>
            <w:tcW w:w="3895" w:type="dxa"/>
            <w:tcBorders>
              <w:top w:val="nil"/>
              <w:left w:val="nil"/>
              <w:bottom w:val="nil"/>
              <w:right w:val="nil"/>
            </w:tcBorders>
          </w:tcPr>
          <w:p w14:paraId="1852B2D4" w14:textId="45B211C7" w:rsidR="00495ADE" w:rsidRPr="00717728" w:rsidRDefault="00495ADE" w:rsidP="0052546C">
            <w:pPr>
              <w:tabs>
                <w:tab w:val="left" w:pos="6237"/>
              </w:tabs>
              <w:spacing w:before="60" w:after="60" w:line="240" w:lineRule="auto"/>
              <w:ind w:left="-48"/>
              <w:jc w:val="both"/>
              <w:rPr>
                <w:rFonts w:ascii="Times New Roman" w:hAnsi="Times New Roman" w:cs="Times New Roman"/>
              </w:rPr>
            </w:pPr>
            <w:r w:rsidRPr="00717728">
              <w:rPr>
                <w:rFonts w:ascii="Times New Roman" w:hAnsi="Times New Roman" w:cs="Times New Roman"/>
              </w:rPr>
              <w:t xml:space="preserve">3.1 The total eligible costs are estimated at AMD </w:t>
            </w:r>
            <w:r w:rsidRPr="00717728">
              <w:rPr>
                <w:rFonts w:ascii="Times New Roman" w:hAnsi="Times New Roman" w:cs="Times New Roman"/>
                <w:highlight w:val="yellow"/>
              </w:rPr>
              <w:t>&lt;insert amount</w:t>
            </w:r>
            <w:r w:rsidRPr="00717728">
              <w:rPr>
                <w:rFonts w:ascii="Times New Roman" w:hAnsi="Times New Roman" w:cs="Times New Roman"/>
              </w:rPr>
              <w:t>&gt;, as set out in Annex II.</w:t>
            </w:r>
          </w:p>
        </w:tc>
      </w:tr>
      <w:tr w:rsidR="00495ADE" w:rsidRPr="00717728" w14:paraId="1DDCB01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64B93F12" w14:textId="7121A8AA" w:rsidR="00495ADE" w:rsidRPr="00717728" w:rsidRDefault="00495ADE" w:rsidP="00111CCC">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3.2 </w:t>
            </w:r>
            <w:r>
              <w:rPr>
                <w:rFonts w:ascii="Times New Roman" w:hAnsi="Times New Roman" w:cs="Times New Roman"/>
              </w:rPr>
              <w:t>Ենթադրամաշնորհատ</w:t>
            </w:r>
            <w:r w:rsidRPr="00717728">
              <w:rPr>
                <w:rFonts w:ascii="Times New Roman" w:hAnsi="Times New Roman" w:cs="Times New Roman"/>
              </w:rPr>
              <w:t xml:space="preserve">ուի կողմից ֆինանսավորման առավելագույն չափը կազմում է </w:t>
            </w:r>
            <w:r w:rsidRPr="00717728">
              <w:rPr>
                <w:rFonts w:ascii="Times New Roman" w:hAnsi="Times New Roman" w:cs="Times New Roman"/>
                <w:highlight w:val="yellow"/>
              </w:rPr>
              <w:t>&lt;գումարի չափը&gt;</w:t>
            </w:r>
            <w:r w:rsidRPr="00717728">
              <w:rPr>
                <w:rFonts w:ascii="Times New Roman" w:hAnsi="Times New Roman" w:cs="Times New Roman"/>
              </w:rPr>
              <w:t xml:space="preserve"> ՀՀ դրամ:</w:t>
            </w:r>
          </w:p>
        </w:tc>
        <w:tc>
          <w:tcPr>
            <w:tcW w:w="333" w:type="dxa"/>
            <w:gridSpan w:val="2"/>
            <w:tcBorders>
              <w:top w:val="nil"/>
              <w:left w:val="nil"/>
              <w:bottom w:val="nil"/>
              <w:right w:val="nil"/>
            </w:tcBorders>
          </w:tcPr>
          <w:p w14:paraId="56FC2DC3" w14:textId="77777777" w:rsidR="00495ADE" w:rsidRPr="00717728" w:rsidRDefault="00495ADE" w:rsidP="0052546C">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1B59332" w14:textId="2FB8936B" w:rsidR="00495ADE" w:rsidRPr="00717728" w:rsidRDefault="00495ADE" w:rsidP="0052546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3.2 The </w:t>
            </w:r>
            <w:r>
              <w:rPr>
                <w:rFonts w:ascii="Times New Roman" w:hAnsi="Times New Roman" w:cs="Times New Roman"/>
              </w:rPr>
              <w:t>Sub-grantor</w:t>
            </w:r>
            <w:r w:rsidRPr="00717728">
              <w:rPr>
                <w:rFonts w:ascii="Times New Roman" w:hAnsi="Times New Roman" w:cs="Times New Roman"/>
              </w:rPr>
              <w:t xml:space="preserve"> undertakes to finance a maximum amount of AMD &lt;</w:t>
            </w:r>
            <w:r w:rsidRPr="00717728">
              <w:rPr>
                <w:rFonts w:ascii="Times New Roman" w:hAnsi="Times New Roman" w:cs="Times New Roman"/>
                <w:highlight w:val="yellow"/>
              </w:rPr>
              <w:t>insert</w:t>
            </w:r>
            <w:r w:rsidRPr="00717728">
              <w:rPr>
                <w:rFonts w:ascii="Times New Roman" w:hAnsi="Times New Roman" w:cs="Times New Roman"/>
              </w:rPr>
              <w:t xml:space="preserve"> </w:t>
            </w:r>
            <w:r w:rsidRPr="00717728">
              <w:rPr>
                <w:rFonts w:ascii="Times New Roman" w:hAnsi="Times New Roman" w:cs="Times New Roman"/>
                <w:highlight w:val="yellow"/>
              </w:rPr>
              <w:t>amount</w:t>
            </w:r>
            <w:r w:rsidRPr="00717728">
              <w:rPr>
                <w:rFonts w:ascii="Times New Roman" w:hAnsi="Times New Roman" w:cs="Times New Roman"/>
              </w:rPr>
              <w:t>&gt;.</w:t>
            </w:r>
          </w:p>
        </w:tc>
      </w:tr>
      <w:tr w:rsidR="00495ADE" w:rsidRPr="00717728" w14:paraId="65F00F4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79144D18" w14:textId="713697A1" w:rsidR="00495ADE" w:rsidRPr="00717728" w:rsidRDefault="00495ADE" w:rsidP="00995067">
            <w:pPr>
              <w:rPr>
                <w:rFonts w:ascii="Times New Roman" w:eastAsiaTheme="minorHAnsi" w:hAnsi="Times New Roman" w:cs="Times New Roman"/>
                <w:szCs w:val="24"/>
              </w:rPr>
            </w:pPr>
            <w:r w:rsidRPr="00717728">
              <w:rPr>
                <w:rFonts w:ascii="Times New Roman" w:hAnsi="Times New Roman" w:cs="Times New Roman"/>
              </w:rPr>
              <w:lastRenderedPageBreak/>
              <w:t>3.3 Ենթադրամաշնորհը սահմանափակվում է 3.1-ին հոդվածում նշված ընդհանուր թույլատրելի ծախսերի &lt;</w:t>
            </w:r>
            <w:r w:rsidRPr="00717728">
              <w:rPr>
                <w:rFonts w:ascii="Times New Roman" w:hAnsi="Times New Roman" w:cs="Times New Roman"/>
                <w:highlight w:val="yellow"/>
              </w:rPr>
              <w:t>կիրառելի տոկոսը</w:t>
            </w:r>
            <w:r w:rsidRPr="00717728">
              <w:rPr>
                <w:rFonts w:ascii="Times New Roman" w:hAnsi="Times New Roman" w:cs="Times New Roman"/>
              </w:rPr>
              <w:t xml:space="preserve">&gt; %-ի  չափով: Ընդհանուր թույլատրելի ծախսերի գումարը, համաֆինանասավորման տոկոսը և ենթադրամաշնորհի առավելագույն գումարի չափը չի կարող ավելացվել: </w:t>
            </w:r>
            <w:r w:rsidRPr="00717728">
              <w:rPr>
                <w:rFonts w:ascii="Times New Roman" w:eastAsiaTheme="minorHAnsi" w:hAnsi="Times New Roman" w:cs="Times New Roman"/>
                <w:szCs w:val="24"/>
              </w:rPr>
              <w:t xml:space="preserve"> </w:t>
            </w:r>
          </w:p>
        </w:tc>
        <w:tc>
          <w:tcPr>
            <w:tcW w:w="333" w:type="dxa"/>
            <w:gridSpan w:val="2"/>
            <w:tcBorders>
              <w:top w:val="nil"/>
              <w:left w:val="nil"/>
              <w:bottom w:val="nil"/>
              <w:right w:val="nil"/>
            </w:tcBorders>
          </w:tcPr>
          <w:p w14:paraId="4487818E" w14:textId="77777777" w:rsidR="00495ADE" w:rsidRPr="00717728" w:rsidRDefault="00495ADE" w:rsidP="00995067">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ADE870F" w14:textId="23746D08" w:rsidR="00495ADE" w:rsidRPr="00717728" w:rsidRDefault="00495ADE" w:rsidP="00995067">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3.3 The sub-grant is further limited to &lt;</w:t>
            </w:r>
            <w:r w:rsidRPr="00717728">
              <w:rPr>
                <w:rFonts w:ascii="Times New Roman" w:hAnsi="Times New Roman" w:cs="Times New Roman"/>
                <w:highlight w:val="yellow"/>
              </w:rPr>
              <w:t xml:space="preserve">enter applicable percentage </w:t>
            </w:r>
            <w:r w:rsidRPr="00717728">
              <w:rPr>
                <w:rFonts w:ascii="Times New Roman" w:hAnsi="Times New Roman" w:cs="Times New Roman"/>
              </w:rPr>
              <w:t>&gt; % of the total eligible cost of the Action specified in Article 3.1. The amount of total eligible costs, the co-financing percentage and the maximum sub-grant amount cannot be increased.</w:t>
            </w:r>
          </w:p>
        </w:tc>
      </w:tr>
      <w:tr w:rsidR="00495ADE" w:rsidRPr="00717728" w14:paraId="1B56D3D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4"/>
            <w:tcBorders>
              <w:top w:val="nil"/>
              <w:left w:val="nil"/>
              <w:bottom w:val="nil"/>
              <w:right w:val="nil"/>
            </w:tcBorders>
          </w:tcPr>
          <w:p w14:paraId="39F7DE11" w14:textId="77777777" w:rsidR="00495ADE" w:rsidRPr="00717728" w:rsidRDefault="00495ADE" w:rsidP="002C1475">
            <w:pPr>
              <w:spacing w:after="120" w:line="256" w:lineRule="auto"/>
              <w:contextualSpacing/>
              <w:jc w:val="both"/>
              <w:rPr>
                <w:rFonts w:ascii="Times New Roman" w:eastAsiaTheme="minorHAnsi" w:hAnsi="Times New Roman" w:cs="Times New Roman"/>
              </w:rPr>
            </w:pPr>
            <w:r w:rsidRPr="00717728">
              <w:rPr>
                <w:rFonts w:ascii="Times New Roman" w:hAnsi="Times New Roman" w:cs="Times New Roman"/>
              </w:rPr>
              <w:t xml:space="preserve">3.4 Ենթադրամաշնորհի վերջնական գումարը չի կարող գերազանցել 3.2-րդ հոդվածում նշված առավելագույն չափը և 3.3-րդ հոդվածում նշված տոկոսը: </w:t>
            </w:r>
          </w:p>
          <w:p w14:paraId="3C4AFE5C" w14:textId="7C9B4028" w:rsidR="00495ADE" w:rsidRPr="00717728" w:rsidRDefault="00495ADE" w:rsidP="00683905">
            <w:pPr>
              <w:jc w:val="both"/>
              <w:rPr>
                <w:rFonts w:ascii="Times New Roman" w:eastAsiaTheme="minorHAnsi" w:hAnsi="Times New Roman" w:cs="Times New Roman"/>
                <w:sz w:val="24"/>
                <w:szCs w:val="24"/>
              </w:rPr>
            </w:pPr>
            <w:r w:rsidRPr="00717728">
              <w:rPr>
                <w:rFonts w:ascii="Times New Roman" w:eastAsiaTheme="minorHAnsi" w:hAnsi="Times New Roman" w:cs="Times New Roman"/>
              </w:rPr>
              <w:t xml:space="preserve">Եթե Գործողության վերջում 12-րդ հոդվածում նշված </w:t>
            </w:r>
            <w:r w:rsidRPr="00717728">
              <w:rPr>
                <w:rFonts w:ascii="Times New Roman" w:hAnsi="Times New Roman" w:cs="Times New Roman"/>
              </w:rPr>
              <w:t>թույլատրելի</w:t>
            </w:r>
            <w:r w:rsidRPr="00717728">
              <w:rPr>
                <w:rFonts w:ascii="Times New Roman" w:eastAsiaTheme="minorHAnsi" w:hAnsi="Times New Roman" w:cs="Times New Roman"/>
              </w:rPr>
              <w:t xml:space="preserve"> ծախսերը պակաս լինեն 3.1-ին հոդվածով նախատեսված գնահատված </w:t>
            </w:r>
            <w:r w:rsidRPr="00717728">
              <w:rPr>
                <w:rFonts w:ascii="Times New Roman" w:hAnsi="Times New Roman" w:cs="Times New Roman"/>
              </w:rPr>
              <w:t>թույլատրելի</w:t>
            </w:r>
            <w:r w:rsidRPr="00717728">
              <w:rPr>
                <w:rFonts w:ascii="Times New Roman" w:eastAsiaTheme="minorHAnsi" w:hAnsi="Times New Roman" w:cs="Times New Roman"/>
              </w:rPr>
              <w:t xml:space="preserve"> ծախսերից, ապա ենթադրամաշնորհը սահմանափակվում է գումարի այն չափով, որը ստացվում է՝ կիրառելով 3.3-րդ հոդվածով նախատեսված տոկոսը </w:t>
            </w:r>
            <w:r>
              <w:rPr>
                <w:rFonts w:ascii="Times New Roman" w:eastAsiaTheme="minorHAnsi" w:hAnsi="Times New Roman" w:cs="Times New Roman"/>
              </w:rPr>
              <w:t>Ենթադրամաշնորհատ</w:t>
            </w:r>
            <w:r w:rsidRPr="00717728">
              <w:rPr>
                <w:rFonts w:ascii="Times New Roman" w:eastAsiaTheme="minorHAnsi" w:hAnsi="Times New Roman" w:cs="Times New Roman"/>
              </w:rPr>
              <w:t xml:space="preserve">ուի կողմից հաստատված ընդհանուր </w:t>
            </w:r>
            <w:r w:rsidRPr="00717728">
              <w:rPr>
                <w:rFonts w:ascii="Times New Roman" w:hAnsi="Times New Roman" w:cs="Times New Roman"/>
              </w:rPr>
              <w:t>թույլատրելի</w:t>
            </w:r>
            <w:r w:rsidRPr="00717728">
              <w:rPr>
                <w:rFonts w:ascii="Times New Roman" w:eastAsiaTheme="minorHAnsi" w:hAnsi="Times New Roman" w:cs="Times New Roman"/>
              </w:rPr>
              <w:t xml:space="preserve"> ծախսերի նկատմամբ:</w:t>
            </w:r>
          </w:p>
        </w:tc>
        <w:tc>
          <w:tcPr>
            <w:tcW w:w="333" w:type="dxa"/>
            <w:gridSpan w:val="2"/>
            <w:tcBorders>
              <w:top w:val="nil"/>
              <w:left w:val="nil"/>
              <w:bottom w:val="nil"/>
              <w:right w:val="nil"/>
            </w:tcBorders>
          </w:tcPr>
          <w:p w14:paraId="1F5AE9A7" w14:textId="77777777" w:rsidR="00495ADE" w:rsidRPr="00717728" w:rsidRDefault="00495ADE" w:rsidP="00995067">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4E98822A" w14:textId="1D820086" w:rsidR="00495ADE" w:rsidRPr="00717728" w:rsidRDefault="00495ADE" w:rsidP="00995067">
            <w:pPr>
              <w:spacing w:after="120" w:line="259" w:lineRule="auto"/>
              <w:contextualSpacing/>
              <w:jc w:val="both"/>
              <w:rPr>
                <w:rFonts w:ascii="Times New Roman" w:eastAsiaTheme="minorHAnsi" w:hAnsi="Times New Roman" w:cs="Times New Roman"/>
              </w:rPr>
            </w:pPr>
            <w:r w:rsidRPr="00717728">
              <w:rPr>
                <w:rFonts w:ascii="Times New Roman" w:hAnsi="Times New Roman" w:cs="Times New Roman"/>
              </w:rPr>
              <w:t>3.4 The final amount of the sub-</w:t>
            </w:r>
            <w:r w:rsidRPr="00717728">
              <w:rPr>
                <w:rFonts w:ascii="Times New Roman" w:eastAsiaTheme="minorHAnsi" w:hAnsi="Times New Roman" w:cs="Times New Roman"/>
              </w:rPr>
              <w:t xml:space="preserve">grant may not exceed the maximum ceiling in Article 3.2 and the percentage in Article 3.3. </w:t>
            </w:r>
          </w:p>
          <w:p w14:paraId="240CD512" w14:textId="331FFF3D" w:rsidR="00495ADE" w:rsidRPr="00717728" w:rsidRDefault="00495ADE" w:rsidP="00995067">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If at the end of the action, the eligible costs of the action as per Article 12 are less than the estimated eligible costs as referred to in Article 3.1, the sub-grant shall be limited to the amount obtained by applying the percentage laid down in Article 3.3 to the total eligible costs of the action approved by the </w:t>
            </w:r>
            <w:r>
              <w:rPr>
                <w:rFonts w:ascii="Times New Roman" w:eastAsiaTheme="minorHAnsi" w:hAnsi="Times New Roman" w:cs="Times New Roman"/>
              </w:rPr>
              <w:t>Sub-grantor</w:t>
            </w:r>
            <w:r w:rsidRPr="00717728">
              <w:rPr>
                <w:rFonts w:ascii="Times New Roman" w:eastAsiaTheme="minorHAnsi" w:hAnsi="Times New Roman" w:cs="Times New Roman"/>
              </w:rPr>
              <w:t>.</w:t>
            </w:r>
          </w:p>
        </w:tc>
      </w:tr>
      <w:tr w:rsidR="00495ADE" w:rsidRPr="00717728" w14:paraId="6F6A716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1E474C9C" w14:textId="5FB4A7F9" w:rsidR="00495ADE" w:rsidRPr="00717728" w:rsidRDefault="00495ADE" w:rsidP="00683905">
            <w:pPr>
              <w:tabs>
                <w:tab w:val="left" w:pos="6237"/>
              </w:tabs>
              <w:spacing w:before="60" w:after="60" w:line="240" w:lineRule="auto"/>
              <w:rPr>
                <w:rFonts w:ascii="Times New Roman" w:hAnsi="Times New Roman" w:cs="Times New Roman"/>
                <w:b/>
              </w:rPr>
            </w:pPr>
            <w:r w:rsidRPr="00717728">
              <w:rPr>
                <w:rFonts w:ascii="Times New Roman" w:eastAsiaTheme="minorHAnsi" w:hAnsi="Times New Roman" w:cs="Times New Roman"/>
              </w:rPr>
              <w:t xml:space="preserve">3.5 </w:t>
            </w:r>
            <w:r w:rsidRPr="000941D1">
              <w:rPr>
                <w:rFonts w:ascii="Times New Roman" w:hAnsi="Times New Roman" w:cs="Times New Roman"/>
              </w:rPr>
              <w:t xml:space="preserve">Ենթադրամաշնորհառուն պարտավորվում </w:t>
            </w:r>
            <w:r w:rsidR="006B3C00" w:rsidRPr="000941D1">
              <w:rPr>
                <w:rFonts w:ascii="Times New Roman" w:hAnsi="Times New Roman" w:cs="Times New Roman"/>
                <w:b/>
                <w:lang w:val="hy-AM"/>
              </w:rPr>
              <w:t>է</w:t>
            </w:r>
            <w:r w:rsidRPr="00AA07B7">
              <w:rPr>
                <w:rFonts w:ascii="Times New Roman" w:eastAsiaTheme="minorHAnsi" w:hAnsi="Times New Roman" w:cs="Times New Roman"/>
              </w:rPr>
              <w:t xml:space="preserve">սեփական </w:t>
            </w:r>
            <w:r w:rsidRPr="00717728">
              <w:rPr>
                <w:rFonts w:ascii="Times New Roman" w:eastAsiaTheme="minorHAnsi" w:hAnsi="Times New Roman" w:cs="Times New Roman"/>
              </w:rPr>
              <w:t xml:space="preserve">միջոցներից համաֆինանսավորել ընդհանուր </w:t>
            </w:r>
            <w:r w:rsidRPr="00717728">
              <w:rPr>
                <w:rFonts w:ascii="Times New Roman" w:hAnsi="Times New Roman" w:cs="Times New Roman"/>
              </w:rPr>
              <w:t>թույլատրելի</w:t>
            </w:r>
            <w:r w:rsidRPr="00717728">
              <w:rPr>
                <w:rFonts w:ascii="Times New Roman" w:eastAsiaTheme="minorHAnsi" w:hAnsi="Times New Roman" w:cs="Times New Roman"/>
              </w:rPr>
              <w:t xml:space="preserve"> ծախսերի </w:t>
            </w:r>
            <w:r w:rsidRPr="00717728">
              <w:rPr>
                <w:rFonts w:ascii="Times New Roman" w:eastAsiaTheme="minorHAnsi" w:hAnsi="Times New Roman" w:cs="Times New Roman"/>
                <w:highlight w:val="yellow"/>
              </w:rPr>
              <w:t>&lt;կիրառելի տոկոսը &gt;</w:t>
            </w:r>
            <w:r w:rsidRPr="00717728">
              <w:rPr>
                <w:rFonts w:ascii="Times New Roman" w:eastAsiaTheme="minorHAnsi" w:hAnsi="Times New Roman" w:cs="Times New Roman"/>
              </w:rPr>
              <w:t xml:space="preserve"> %-ը:</w:t>
            </w:r>
          </w:p>
        </w:tc>
        <w:tc>
          <w:tcPr>
            <w:tcW w:w="333" w:type="dxa"/>
            <w:gridSpan w:val="2"/>
            <w:tcBorders>
              <w:top w:val="nil"/>
              <w:left w:val="nil"/>
              <w:bottom w:val="nil"/>
              <w:right w:val="nil"/>
            </w:tcBorders>
          </w:tcPr>
          <w:p w14:paraId="24AC2169" w14:textId="77777777" w:rsidR="00495ADE" w:rsidRPr="00717728" w:rsidRDefault="00495ADE" w:rsidP="00995067">
            <w:pPr>
              <w:tabs>
                <w:tab w:val="left" w:pos="6237"/>
              </w:tabs>
              <w:spacing w:before="60" w:after="60" w:line="240" w:lineRule="auto"/>
              <w:rPr>
                <w:rFonts w:ascii="Times New Roman" w:eastAsiaTheme="minorHAnsi" w:hAnsi="Times New Roman" w:cs="Times New Roman"/>
              </w:rPr>
            </w:pPr>
          </w:p>
        </w:tc>
        <w:tc>
          <w:tcPr>
            <w:tcW w:w="3895" w:type="dxa"/>
            <w:tcBorders>
              <w:top w:val="nil"/>
              <w:left w:val="nil"/>
              <w:bottom w:val="nil"/>
              <w:right w:val="nil"/>
            </w:tcBorders>
          </w:tcPr>
          <w:p w14:paraId="3052B159" w14:textId="5B75E2BB" w:rsidR="00495ADE" w:rsidRPr="00717728" w:rsidRDefault="00495ADE" w:rsidP="00995067">
            <w:pPr>
              <w:tabs>
                <w:tab w:val="left" w:pos="6237"/>
              </w:tabs>
              <w:spacing w:before="60" w:after="60" w:line="240" w:lineRule="auto"/>
              <w:rPr>
                <w:rFonts w:ascii="Times New Roman" w:hAnsi="Times New Roman" w:cs="Times New Roman"/>
              </w:rPr>
            </w:pPr>
            <w:r w:rsidRPr="00717728">
              <w:rPr>
                <w:rFonts w:ascii="Times New Roman" w:eastAsiaTheme="minorHAnsi" w:hAnsi="Times New Roman" w:cs="Times New Roman"/>
              </w:rPr>
              <w:t xml:space="preserve">3.5 The </w:t>
            </w:r>
            <w:r w:rsidRPr="000941D1">
              <w:rPr>
                <w:rFonts w:ascii="Times New Roman" w:hAnsi="Times New Roman" w:cs="Times New Roman"/>
              </w:rPr>
              <w:t>Sub-Grantee undertakes</w:t>
            </w:r>
            <w:r w:rsidRPr="000941D1">
              <w:rPr>
                <w:rFonts w:ascii="Times New Roman" w:hAnsi="Times New Roman" w:cs="Times New Roman"/>
                <w:b/>
              </w:rPr>
              <w:t xml:space="preserve"> </w:t>
            </w:r>
            <w:r w:rsidRPr="00AA07B7">
              <w:rPr>
                <w:rFonts w:ascii="Times New Roman" w:eastAsiaTheme="minorHAnsi" w:hAnsi="Times New Roman" w:cs="Times New Roman"/>
              </w:rPr>
              <w:t>to co</w:t>
            </w:r>
            <w:r w:rsidRPr="00717728">
              <w:rPr>
                <w:rFonts w:ascii="Times New Roman" w:eastAsiaTheme="minorHAnsi" w:hAnsi="Times New Roman" w:cs="Times New Roman"/>
              </w:rPr>
              <w:t xml:space="preserve">-finance from own resources </w:t>
            </w:r>
            <w:r w:rsidRPr="00717728">
              <w:rPr>
                <w:rFonts w:ascii="Times New Roman" w:eastAsiaTheme="minorHAnsi" w:hAnsi="Times New Roman" w:cs="Times New Roman"/>
                <w:highlight w:val="yellow"/>
              </w:rPr>
              <w:t>&lt;enter applicable percentage&gt;</w:t>
            </w:r>
            <w:r w:rsidRPr="00717728">
              <w:rPr>
                <w:rFonts w:ascii="Times New Roman" w:eastAsiaTheme="minorHAnsi" w:hAnsi="Times New Roman" w:cs="Times New Roman"/>
              </w:rPr>
              <w:t>% of total eligible costs.</w:t>
            </w:r>
          </w:p>
        </w:tc>
      </w:tr>
      <w:tr w:rsidR="00495ADE" w:rsidRPr="00717728" w14:paraId="445E84C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300F39A" w14:textId="2B4A31CB" w:rsidR="00495ADE" w:rsidRPr="00717728" w:rsidRDefault="00495ADE" w:rsidP="002C1475">
            <w:pPr>
              <w:tabs>
                <w:tab w:val="left" w:pos="6237"/>
              </w:tabs>
              <w:spacing w:before="60" w:after="60" w:line="240" w:lineRule="auto"/>
              <w:jc w:val="both"/>
              <w:rPr>
                <w:rFonts w:ascii="Times New Roman" w:hAnsi="Times New Roman" w:cs="Times New Roman"/>
                <w:b/>
                <w:lang w:val="hy-AM"/>
              </w:rPr>
            </w:pPr>
            <w:bookmarkStart w:id="5" w:name="_Toc70236971"/>
            <w:r w:rsidRPr="00717728">
              <w:rPr>
                <w:rFonts w:ascii="Times New Roman" w:hAnsi="Times New Roman" w:cs="Times New Roman"/>
                <w:b/>
              </w:rPr>
              <w:t>ՀՈԴՎԱԾ 4 — Պայմանագրի Հավելվածներ</w:t>
            </w:r>
            <w:bookmarkEnd w:id="5"/>
          </w:p>
        </w:tc>
        <w:tc>
          <w:tcPr>
            <w:tcW w:w="333" w:type="dxa"/>
            <w:gridSpan w:val="2"/>
            <w:tcBorders>
              <w:top w:val="nil"/>
              <w:left w:val="nil"/>
              <w:bottom w:val="nil"/>
              <w:right w:val="nil"/>
            </w:tcBorders>
          </w:tcPr>
          <w:p w14:paraId="2BD1DD4C" w14:textId="77777777" w:rsidR="00495ADE" w:rsidRPr="00717728" w:rsidRDefault="00495ADE" w:rsidP="00995067">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68E18E8" w14:textId="7A8A6F04" w:rsidR="00495ADE" w:rsidRPr="00717728" w:rsidRDefault="00495ADE" w:rsidP="00995067">
            <w:pPr>
              <w:tabs>
                <w:tab w:val="left" w:pos="6237"/>
              </w:tabs>
              <w:spacing w:before="60" w:after="60" w:line="240" w:lineRule="auto"/>
              <w:jc w:val="both"/>
              <w:rPr>
                <w:rFonts w:ascii="Times New Roman" w:hAnsi="Times New Roman" w:cs="Times New Roman"/>
                <w:b/>
                <w:bCs/>
              </w:rPr>
            </w:pPr>
            <w:bookmarkStart w:id="6" w:name="_Toc67590171"/>
            <w:r w:rsidRPr="00717728">
              <w:rPr>
                <w:rFonts w:ascii="Times New Roman" w:hAnsi="Times New Roman" w:cs="Times New Roman"/>
                <w:b/>
              </w:rPr>
              <w:t>ARTICLE 4 — Annexes to the contract</w:t>
            </w:r>
            <w:bookmarkEnd w:id="6"/>
          </w:p>
        </w:tc>
      </w:tr>
      <w:tr w:rsidR="00495ADE" w:rsidRPr="00717728" w14:paraId="72ADC8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21E2476" w14:textId="256ECE8F" w:rsidR="00495ADE" w:rsidRPr="00717728" w:rsidRDefault="00495ADE" w:rsidP="002C1475">
            <w:pPr>
              <w:tabs>
                <w:tab w:val="left" w:pos="6237"/>
              </w:tabs>
              <w:autoSpaceDE w:val="0"/>
              <w:autoSpaceDN w:val="0"/>
              <w:adjustRightInd w:val="0"/>
              <w:spacing w:before="60" w:after="60" w:line="240" w:lineRule="auto"/>
              <w:ind w:left="360"/>
              <w:jc w:val="both"/>
              <w:rPr>
                <w:rFonts w:ascii="Times New Roman" w:hAnsi="Times New Roman" w:cs="Times New Roman"/>
                <w:b/>
                <w:lang w:val="hy-AM"/>
              </w:rPr>
            </w:pPr>
            <w:r w:rsidRPr="00717728">
              <w:rPr>
                <w:rFonts w:ascii="Times New Roman" w:hAnsi="Times New Roman" w:cs="Times New Roman"/>
              </w:rPr>
              <w:t>4.1 Պայմանագիրը կազմված է հետևյալ Հավելվածներից, որոնք Պայմանագրի անբաժանելի մասն են.</w:t>
            </w:r>
          </w:p>
        </w:tc>
        <w:tc>
          <w:tcPr>
            <w:tcW w:w="333" w:type="dxa"/>
            <w:gridSpan w:val="2"/>
            <w:tcBorders>
              <w:top w:val="nil"/>
              <w:left w:val="nil"/>
              <w:bottom w:val="nil"/>
              <w:right w:val="nil"/>
            </w:tcBorders>
          </w:tcPr>
          <w:p w14:paraId="445A58EF" w14:textId="77777777" w:rsidR="00495ADE" w:rsidRPr="00717728" w:rsidRDefault="00495ADE" w:rsidP="00995067">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04A90437" w14:textId="2D23755E" w:rsidR="00495ADE" w:rsidRPr="00717728" w:rsidRDefault="00495ADE" w:rsidP="00995067">
            <w:pPr>
              <w:spacing w:after="120" w:line="259" w:lineRule="auto"/>
              <w:contextualSpacing/>
              <w:jc w:val="both"/>
              <w:rPr>
                <w:rFonts w:ascii="Times New Roman" w:hAnsi="Times New Roman" w:cs="Times New Roman"/>
              </w:rPr>
            </w:pPr>
            <w:r w:rsidRPr="00717728">
              <w:rPr>
                <w:rFonts w:ascii="Times New Roman" w:hAnsi="Times New Roman" w:cs="Times New Roman"/>
              </w:rPr>
              <w:t>4.1 This Sub-Grant Contract comprises the following annexes, that form integral part of the Contract:</w:t>
            </w:r>
          </w:p>
          <w:p w14:paraId="4969960A" w14:textId="7398BEF6" w:rsidR="00495ADE" w:rsidRPr="00717728" w:rsidRDefault="00495ADE" w:rsidP="00995067">
            <w:pPr>
              <w:tabs>
                <w:tab w:val="left" w:pos="6237"/>
              </w:tabs>
              <w:spacing w:before="60" w:after="60" w:line="240" w:lineRule="auto"/>
              <w:jc w:val="both"/>
              <w:rPr>
                <w:rFonts w:ascii="Times New Roman" w:hAnsi="Times New Roman" w:cs="Times New Roman"/>
                <w:bCs/>
              </w:rPr>
            </w:pPr>
          </w:p>
        </w:tc>
      </w:tr>
      <w:tr w:rsidR="00495ADE" w:rsidRPr="00717728" w14:paraId="133DE5C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BCDE769" w14:textId="77777777" w:rsidR="00495ADE" w:rsidRPr="00717728" w:rsidRDefault="00495ADE" w:rsidP="002C1475">
            <w:pPr>
              <w:pStyle w:val="Text4"/>
              <w:spacing w:after="0"/>
              <w:ind w:left="1843" w:hanging="1276"/>
              <w:contextualSpacing/>
              <w:jc w:val="both"/>
              <w:rPr>
                <w:sz w:val="22"/>
                <w:szCs w:val="22"/>
              </w:rPr>
            </w:pPr>
            <w:r w:rsidRPr="00717728">
              <w:rPr>
                <w:sz w:val="22"/>
                <w:szCs w:val="22"/>
              </w:rPr>
              <w:t>Հավելված I</w:t>
            </w:r>
            <w:r w:rsidRPr="00717728">
              <w:rPr>
                <w:sz w:val="22"/>
                <w:szCs w:val="22"/>
              </w:rPr>
              <w:tab/>
              <w:t>Ենթադրամաշնորհի նկարագիր (նույնը, ինչ հայտի ձևում)</w:t>
            </w:r>
          </w:p>
          <w:p w14:paraId="5533AA91" w14:textId="77777777" w:rsidR="00495ADE" w:rsidRPr="00717728" w:rsidRDefault="00495ADE" w:rsidP="002C1475">
            <w:pPr>
              <w:ind w:left="1843" w:hanging="1276"/>
              <w:contextualSpacing/>
              <w:jc w:val="both"/>
              <w:rPr>
                <w:rFonts w:ascii="Times New Roman" w:hAnsi="Times New Roman" w:cs="Times New Roman"/>
              </w:rPr>
            </w:pPr>
            <w:r w:rsidRPr="00717728">
              <w:rPr>
                <w:rFonts w:ascii="Times New Roman" w:hAnsi="Times New Roman" w:cs="Times New Roman"/>
              </w:rPr>
              <w:t>Հավելված II Ենթադրամաշնորհի բյուջե (3 աշխատաթերթ)</w:t>
            </w:r>
          </w:p>
          <w:p w14:paraId="3A236D72" w14:textId="77777777" w:rsidR="00495ADE" w:rsidRPr="00717728" w:rsidRDefault="00495ADE" w:rsidP="002C1475">
            <w:pPr>
              <w:pStyle w:val="Text4"/>
              <w:spacing w:after="0"/>
              <w:ind w:left="1843" w:hanging="1276"/>
              <w:contextualSpacing/>
              <w:jc w:val="both"/>
              <w:rPr>
                <w:sz w:val="22"/>
                <w:szCs w:val="22"/>
              </w:rPr>
            </w:pPr>
            <w:r w:rsidRPr="00717728">
              <w:rPr>
                <w:sz w:val="22"/>
                <w:szCs w:val="22"/>
              </w:rPr>
              <w:t>Հավելված III Ենթադրամաշնորհի հայտատուների ուղեցույցներ</w:t>
            </w:r>
          </w:p>
          <w:p w14:paraId="7C2A700C" w14:textId="77777777" w:rsidR="00495ADE" w:rsidRPr="00717728" w:rsidRDefault="00495ADE" w:rsidP="002C1475">
            <w:pPr>
              <w:pStyle w:val="Text4"/>
              <w:tabs>
                <w:tab w:val="left" w:pos="720"/>
                <w:tab w:val="left" w:pos="1440"/>
                <w:tab w:val="left" w:pos="2160"/>
                <w:tab w:val="left" w:pos="2880"/>
                <w:tab w:val="left" w:pos="3600"/>
                <w:tab w:val="left" w:pos="4320"/>
                <w:tab w:val="left" w:pos="5040"/>
                <w:tab w:val="left" w:pos="5760"/>
                <w:tab w:val="left" w:pos="6480"/>
                <w:tab w:val="left" w:pos="7015"/>
              </w:tabs>
              <w:spacing w:after="0"/>
              <w:ind w:left="1843" w:hanging="1276"/>
              <w:contextualSpacing/>
              <w:jc w:val="both"/>
              <w:rPr>
                <w:sz w:val="22"/>
                <w:szCs w:val="22"/>
              </w:rPr>
            </w:pPr>
            <w:r w:rsidRPr="00717728">
              <w:rPr>
                <w:sz w:val="22"/>
                <w:szCs w:val="22"/>
              </w:rPr>
              <w:t>Հավելված IV</w:t>
            </w:r>
            <w:r w:rsidRPr="00717728">
              <w:rPr>
                <w:sz w:val="22"/>
                <w:szCs w:val="22"/>
              </w:rPr>
              <w:tab/>
              <w:t xml:space="preserve">Վերջնական պատմողական հաշվետվության ձևանմուշ </w:t>
            </w:r>
            <w:r w:rsidRPr="00717728">
              <w:rPr>
                <w:sz w:val="22"/>
                <w:szCs w:val="22"/>
              </w:rPr>
              <w:tab/>
            </w:r>
          </w:p>
          <w:p w14:paraId="03198110" w14:textId="77777777" w:rsidR="00495ADE" w:rsidRPr="00717728" w:rsidRDefault="00495ADE" w:rsidP="002C1475">
            <w:pPr>
              <w:pStyle w:val="Text4"/>
              <w:spacing w:after="0"/>
              <w:ind w:left="1843" w:hanging="1276"/>
              <w:contextualSpacing/>
              <w:jc w:val="both"/>
              <w:rPr>
                <w:sz w:val="22"/>
                <w:szCs w:val="22"/>
              </w:rPr>
            </w:pPr>
            <w:r w:rsidRPr="00717728">
              <w:rPr>
                <w:sz w:val="22"/>
                <w:szCs w:val="22"/>
              </w:rPr>
              <w:t>Հավելված V</w:t>
            </w:r>
            <w:r w:rsidRPr="00717728">
              <w:rPr>
                <w:sz w:val="22"/>
                <w:szCs w:val="22"/>
              </w:rPr>
              <w:tab/>
              <w:t>Վերջնական ֆինանսական հաշվետվության ձևանմուշ</w:t>
            </w:r>
          </w:p>
          <w:p w14:paraId="0478EA4E" w14:textId="77777777" w:rsidR="00495ADE" w:rsidRPr="00717728" w:rsidRDefault="00495ADE" w:rsidP="002C1475">
            <w:pPr>
              <w:pStyle w:val="Text4"/>
              <w:spacing w:after="0"/>
              <w:ind w:left="1843" w:hanging="1276"/>
              <w:contextualSpacing/>
              <w:jc w:val="both"/>
              <w:rPr>
                <w:sz w:val="22"/>
                <w:szCs w:val="22"/>
              </w:rPr>
            </w:pPr>
          </w:p>
          <w:p w14:paraId="0626F13D" w14:textId="3BDD3300" w:rsidR="00495ADE" w:rsidRPr="00717728" w:rsidRDefault="00495ADE" w:rsidP="00995067">
            <w:pPr>
              <w:rPr>
                <w:rFonts w:ascii="Times New Roman" w:eastAsiaTheme="minorHAnsi" w:hAnsi="Times New Roman" w:cs="Times New Roman"/>
                <w:sz w:val="24"/>
                <w:szCs w:val="24"/>
              </w:rPr>
            </w:pPr>
            <w:r w:rsidRPr="00717728">
              <w:rPr>
                <w:rFonts w:ascii="Times New Roman" w:hAnsi="Times New Roman" w:cs="Times New Roman"/>
              </w:rPr>
              <w:t>Սույն Պայամանգրի և դրա որևէ Հավելվածի միջև անհամապատասխանության դեպքում գերակայում է Պայմանագիրը:</w:t>
            </w:r>
            <w:r w:rsidRPr="00717728">
              <w:rPr>
                <w:rFonts w:ascii="Times New Roman" w:eastAsiaTheme="minorHAnsi" w:hAnsi="Times New Roman" w:cs="Times New Roman"/>
                <w:szCs w:val="24"/>
              </w:rPr>
              <w:t xml:space="preserve"> </w:t>
            </w:r>
          </w:p>
        </w:tc>
        <w:tc>
          <w:tcPr>
            <w:tcW w:w="333" w:type="dxa"/>
            <w:gridSpan w:val="2"/>
            <w:tcBorders>
              <w:top w:val="nil"/>
              <w:left w:val="nil"/>
              <w:bottom w:val="nil"/>
              <w:right w:val="nil"/>
            </w:tcBorders>
          </w:tcPr>
          <w:p w14:paraId="3DBA459E" w14:textId="77777777" w:rsidR="00495ADE" w:rsidRPr="00717728" w:rsidRDefault="00495ADE" w:rsidP="00995067">
            <w:pPr>
              <w:pStyle w:val="Text4"/>
              <w:spacing w:after="0"/>
              <w:ind w:left="1843" w:hanging="1276"/>
              <w:contextualSpacing/>
              <w:jc w:val="both"/>
              <w:rPr>
                <w:sz w:val="22"/>
                <w:szCs w:val="22"/>
              </w:rPr>
            </w:pPr>
          </w:p>
        </w:tc>
        <w:tc>
          <w:tcPr>
            <w:tcW w:w="3895" w:type="dxa"/>
            <w:tcBorders>
              <w:top w:val="nil"/>
              <w:left w:val="nil"/>
              <w:bottom w:val="nil"/>
              <w:right w:val="nil"/>
            </w:tcBorders>
          </w:tcPr>
          <w:p w14:paraId="1B0671DE" w14:textId="5912B518" w:rsidR="00495ADE" w:rsidRPr="00717728" w:rsidRDefault="00495ADE" w:rsidP="00995067">
            <w:pPr>
              <w:pStyle w:val="Text4"/>
              <w:spacing w:after="0"/>
              <w:ind w:left="1843" w:hanging="1276"/>
              <w:contextualSpacing/>
              <w:jc w:val="both"/>
              <w:rPr>
                <w:sz w:val="22"/>
                <w:szCs w:val="22"/>
              </w:rPr>
            </w:pPr>
            <w:r w:rsidRPr="00717728">
              <w:rPr>
                <w:sz w:val="22"/>
                <w:szCs w:val="22"/>
              </w:rPr>
              <w:t>Annex I</w:t>
            </w:r>
            <w:r w:rsidRPr="00717728">
              <w:rPr>
                <w:sz w:val="22"/>
                <w:szCs w:val="22"/>
              </w:rPr>
              <w:tab/>
              <w:t>Sub-Grant Description (same as Application Form)</w:t>
            </w:r>
          </w:p>
          <w:p w14:paraId="614B1E00" w14:textId="77777777" w:rsidR="00495ADE" w:rsidRPr="00717728" w:rsidRDefault="00495ADE" w:rsidP="00995067">
            <w:pPr>
              <w:ind w:left="1843" w:hanging="1276"/>
              <w:contextualSpacing/>
              <w:jc w:val="both"/>
              <w:rPr>
                <w:rFonts w:ascii="Times New Roman" w:hAnsi="Times New Roman" w:cs="Times New Roman"/>
              </w:rPr>
            </w:pPr>
            <w:r w:rsidRPr="00717728">
              <w:rPr>
                <w:rFonts w:ascii="Times New Roman" w:hAnsi="Times New Roman" w:cs="Times New Roman"/>
              </w:rPr>
              <w:t xml:space="preserve">Annex II: </w:t>
            </w:r>
            <w:r w:rsidRPr="00717728">
              <w:rPr>
                <w:rFonts w:ascii="Times New Roman" w:hAnsi="Times New Roman" w:cs="Times New Roman"/>
              </w:rPr>
              <w:tab/>
              <w:t>Sub-Grant Budget (3 worksheets)</w:t>
            </w:r>
          </w:p>
          <w:p w14:paraId="19CAC35D" w14:textId="77777777" w:rsidR="00495ADE" w:rsidRPr="00717728" w:rsidRDefault="00495ADE" w:rsidP="00995067">
            <w:pPr>
              <w:pStyle w:val="Text4"/>
              <w:spacing w:after="0"/>
              <w:ind w:left="1843" w:hanging="1276"/>
              <w:contextualSpacing/>
              <w:jc w:val="both"/>
              <w:rPr>
                <w:sz w:val="22"/>
                <w:szCs w:val="22"/>
              </w:rPr>
            </w:pPr>
            <w:r w:rsidRPr="00717728">
              <w:rPr>
                <w:sz w:val="22"/>
                <w:szCs w:val="22"/>
              </w:rPr>
              <w:t>Annex III:</w:t>
            </w:r>
            <w:r w:rsidRPr="00717728">
              <w:rPr>
                <w:sz w:val="22"/>
                <w:szCs w:val="22"/>
              </w:rPr>
              <w:tab/>
              <w:t>Sub-Grant Guidelines for Applicants</w:t>
            </w:r>
          </w:p>
          <w:p w14:paraId="12B586B4" w14:textId="77777777" w:rsidR="00495ADE" w:rsidRPr="00717728" w:rsidRDefault="00495ADE" w:rsidP="00995067">
            <w:pPr>
              <w:pStyle w:val="Text4"/>
              <w:spacing w:after="0"/>
              <w:ind w:left="1843" w:hanging="1276"/>
              <w:contextualSpacing/>
              <w:jc w:val="both"/>
              <w:rPr>
                <w:sz w:val="22"/>
                <w:szCs w:val="22"/>
              </w:rPr>
            </w:pPr>
            <w:r w:rsidRPr="00717728">
              <w:rPr>
                <w:sz w:val="22"/>
                <w:szCs w:val="22"/>
              </w:rPr>
              <w:t>Annex IV</w:t>
            </w:r>
            <w:r w:rsidRPr="00717728">
              <w:rPr>
                <w:sz w:val="22"/>
                <w:szCs w:val="22"/>
              </w:rPr>
              <w:tab/>
              <w:t>Model for Narrative Final Report</w:t>
            </w:r>
          </w:p>
          <w:p w14:paraId="58FD588B" w14:textId="77777777" w:rsidR="00495ADE" w:rsidRPr="00717728" w:rsidRDefault="00495ADE" w:rsidP="00995067">
            <w:pPr>
              <w:pStyle w:val="Text4"/>
              <w:spacing w:after="0"/>
              <w:ind w:left="1843" w:hanging="1276"/>
              <w:contextualSpacing/>
              <w:jc w:val="both"/>
              <w:rPr>
                <w:sz w:val="22"/>
                <w:szCs w:val="22"/>
              </w:rPr>
            </w:pPr>
            <w:r w:rsidRPr="00717728">
              <w:rPr>
                <w:sz w:val="22"/>
                <w:szCs w:val="22"/>
              </w:rPr>
              <w:t>Annex V</w:t>
            </w:r>
            <w:r w:rsidRPr="00717728">
              <w:rPr>
                <w:sz w:val="22"/>
                <w:szCs w:val="22"/>
              </w:rPr>
              <w:tab/>
              <w:t>Model for Financial Final Report</w:t>
            </w:r>
          </w:p>
          <w:p w14:paraId="1F0162F4" w14:textId="0A3AAC55" w:rsidR="00495ADE" w:rsidRPr="00717728" w:rsidRDefault="00495ADE" w:rsidP="00995067">
            <w:pPr>
              <w:tabs>
                <w:tab w:val="left" w:pos="6237"/>
              </w:tabs>
              <w:spacing w:before="60" w:after="60" w:line="240" w:lineRule="auto"/>
              <w:jc w:val="both"/>
              <w:rPr>
                <w:rFonts w:ascii="Times New Roman" w:hAnsi="Times New Roman" w:cs="Times New Roman"/>
                <w:bCs/>
              </w:rPr>
            </w:pPr>
            <w:r w:rsidRPr="00717728">
              <w:rPr>
                <w:rFonts w:ascii="Times New Roman" w:hAnsi="Times New Roman" w:cs="Times New Roman"/>
              </w:rPr>
              <w:t>In the event of a conflict between the provisions of the present Contract and any annex thereto, the Contract shall take precedence.</w:t>
            </w:r>
          </w:p>
        </w:tc>
      </w:tr>
      <w:tr w:rsidR="00495ADE" w:rsidRPr="00717728" w14:paraId="016448B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6CF8E70" w14:textId="5045A9FB" w:rsidR="00495ADE" w:rsidRPr="00717728" w:rsidRDefault="00495ADE" w:rsidP="00BA15D1">
            <w:pPr>
              <w:tabs>
                <w:tab w:val="left" w:pos="6237"/>
              </w:tabs>
              <w:autoSpaceDE w:val="0"/>
              <w:autoSpaceDN w:val="0"/>
              <w:adjustRightInd w:val="0"/>
              <w:spacing w:before="60" w:after="60" w:line="240" w:lineRule="auto"/>
              <w:jc w:val="both"/>
              <w:rPr>
                <w:rFonts w:ascii="Times New Roman" w:hAnsi="Times New Roman" w:cs="Times New Roman"/>
                <w:b/>
              </w:rPr>
            </w:pPr>
            <w:bookmarkStart w:id="7" w:name="_Toc70236972"/>
            <w:r w:rsidRPr="00717728">
              <w:rPr>
                <w:rFonts w:ascii="Times New Roman" w:hAnsi="Times New Roman" w:cs="Times New Roman"/>
                <w:b/>
              </w:rPr>
              <w:t xml:space="preserve">ՀՈԴՎԱԾ 5 — </w:t>
            </w:r>
            <w:r>
              <w:rPr>
                <w:rFonts w:ascii="Times New Roman" w:hAnsi="Times New Roman" w:cs="Times New Roman"/>
                <w:b/>
              </w:rPr>
              <w:t xml:space="preserve">Կոնտակտային </w:t>
            </w:r>
            <w:r w:rsidRPr="00717728">
              <w:rPr>
                <w:rFonts w:ascii="Times New Roman" w:hAnsi="Times New Roman" w:cs="Times New Roman"/>
                <w:b/>
              </w:rPr>
              <w:t xml:space="preserve"> հասցեները</w:t>
            </w:r>
            <w:bookmarkEnd w:id="7"/>
          </w:p>
        </w:tc>
        <w:tc>
          <w:tcPr>
            <w:tcW w:w="333" w:type="dxa"/>
            <w:gridSpan w:val="2"/>
            <w:tcBorders>
              <w:top w:val="nil"/>
              <w:left w:val="nil"/>
              <w:bottom w:val="nil"/>
              <w:right w:val="nil"/>
            </w:tcBorders>
          </w:tcPr>
          <w:p w14:paraId="58124ACD" w14:textId="77777777" w:rsidR="00495ADE" w:rsidRPr="00717728" w:rsidRDefault="00495ADE" w:rsidP="00995067">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03983635" w14:textId="2E0D8774" w:rsidR="00495ADE" w:rsidRPr="00717728" w:rsidRDefault="00495ADE" w:rsidP="00995067">
            <w:pPr>
              <w:tabs>
                <w:tab w:val="left" w:pos="6237"/>
              </w:tabs>
              <w:spacing w:before="60" w:after="60" w:line="240" w:lineRule="auto"/>
              <w:jc w:val="both"/>
              <w:rPr>
                <w:rFonts w:ascii="Times New Roman" w:hAnsi="Times New Roman" w:cs="Times New Roman"/>
                <w:b/>
                <w:bCs/>
              </w:rPr>
            </w:pPr>
            <w:bookmarkStart w:id="8" w:name="_Toc67590172"/>
            <w:r w:rsidRPr="00717728">
              <w:rPr>
                <w:rFonts w:ascii="Times New Roman" w:hAnsi="Times New Roman" w:cs="Times New Roman"/>
                <w:b/>
              </w:rPr>
              <w:t>ARTICLE 5 — Contact addresses</w:t>
            </w:r>
            <w:bookmarkEnd w:id="8"/>
          </w:p>
        </w:tc>
      </w:tr>
      <w:tr w:rsidR="00495ADE" w:rsidRPr="00717728" w14:paraId="0248982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732E9499" w14:textId="1DC1DC89" w:rsidR="00495ADE" w:rsidRPr="00717728" w:rsidRDefault="00495ADE" w:rsidP="002C1475">
            <w:pPr>
              <w:spacing w:after="120" w:line="256" w:lineRule="auto"/>
              <w:contextualSpacing/>
              <w:jc w:val="both"/>
              <w:rPr>
                <w:rFonts w:ascii="Times New Roman" w:hAnsi="Times New Roman" w:cs="Times New Roman"/>
              </w:rPr>
            </w:pPr>
            <w:r w:rsidRPr="00717728">
              <w:rPr>
                <w:rFonts w:ascii="Times New Roman" w:hAnsi="Times New Roman" w:cs="Times New Roman"/>
              </w:rPr>
              <w:t>Սույն Պայման</w:t>
            </w:r>
            <w:r>
              <w:rPr>
                <w:rFonts w:ascii="Times New Roman" w:hAnsi="Times New Roman" w:cs="Times New Roman"/>
              </w:rPr>
              <w:t>ա</w:t>
            </w:r>
            <w:r w:rsidRPr="00717728">
              <w:rPr>
                <w:rFonts w:ascii="Times New Roman" w:hAnsi="Times New Roman" w:cs="Times New Roman"/>
              </w:rPr>
              <w:t>գրին առնչվող ցանկացած հաղորդակցություն պետք է լինի գրավոր, պարունակի Գործողության համարը և անվանումը և ուղարկվի հետևյալ հասցեներով.</w:t>
            </w:r>
          </w:p>
          <w:p w14:paraId="5D07B993" w14:textId="17AE0128" w:rsidR="00495ADE" w:rsidRPr="00717728" w:rsidRDefault="00495ADE" w:rsidP="002C1475">
            <w:pPr>
              <w:spacing w:after="120" w:line="256" w:lineRule="auto"/>
              <w:ind w:left="567"/>
              <w:contextualSpacing/>
              <w:jc w:val="both"/>
              <w:rPr>
                <w:rFonts w:ascii="Times New Roman" w:hAnsi="Times New Roman" w:cs="Times New Roman"/>
                <w:b/>
                <w:bCs/>
                <w:i/>
                <w:iCs/>
                <w:u w:val="single"/>
              </w:rPr>
            </w:pPr>
            <w:r>
              <w:rPr>
                <w:rFonts w:ascii="Times New Roman" w:hAnsi="Times New Roman" w:cs="Times New Roman"/>
                <w:b/>
                <w:bCs/>
                <w:i/>
                <w:iCs/>
                <w:u w:val="single"/>
              </w:rPr>
              <w:t>Ենթադրամաշնորհատ</w:t>
            </w:r>
            <w:r w:rsidRPr="00717728">
              <w:rPr>
                <w:rFonts w:ascii="Times New Roman" w:hAnsi="Times New Roman" w:cs="Times New Roman"/>
                <w:b/>
                <w:bCs/>
                <w:i/>
                <w:iCs/>
                <w:u w:val="single"/>
              </w:rPr>
              <w:t xml:space="preserve">ուի հասցե՝ </w:t>
            </w:r>
          </w:p>
          <w:p w14:paraId="0C673052" w14:textId="03C628C7" w:rsidR="00495ADE" w:rsidRPr="00717728" w:rsidRDefault="00495ADE" w:rsidP="002C1475">
            <w:pPr>
              <w:spacing w:after="120" w:line="256" w:lineRule="auto"/>
              <w:contextualSpacing/>
              <w:rPr>
                <w:rFonts w:ascii="Times New Roman" w:hAnsi="Times New Roman" w:cs="Times New Roman"/>
                <w:b/>
                <w:bCs/>
              </w:rPr>
            </w:pPr>
            <w:r w:rsidRPr="00717728">
              <w:rPr>
                <w:rFonts w:ascii="Times New Roman" w:hAnsi="Times New Roman" w:cs="Times New Roman"/>
                <w:b/>
              </w:rPr>
              <w:t>«Երևանի կառուցապատման</w:t>
            </w:r>
            <w:r>
              <w:rPr>
                <w:rFonts w:ascii="Times New Roman" w:hAnsi="Times New Roman" w:cs="Times New Roman"/>
                <w:b/>
              </w:rPr>
              <w:t xml:space="preserve"> </w:t>
            </w:r>
            <w:r w:rsidRPr="00717728">
              <w:rPr>
                <w:rFonts w:ascii="Times New Roman" w:hAnsi="Times New Roman" w:cs="Times New Roman"/>
                <w:b/>
              </w:rPr>
              <w:t>ներդրումային ԾԻԳ» ՀՈԱԿ</w:t>
            </w:r>
            <w:r w:rsidRPr="00717728">
              <w:rPr>
                <w:rFonts w:ascii="Times New Roman" w:hAnsi="Times New Roman" w:cs="Times New Roman"/>
                <w:bCs/>
              </w:rPr>
              <w:t xml:space="preserve"> </w:t>
            </w:r>
          </w:p>
          <w:p w14:paraId="6DB56D30" w14:textId="0056EA54" w:rsidR="00495ADE" w:rsidRPr="00717728" w:rsidRDefault="00495ADE" w:rsidP="002C1475">
            <w:pPr>
              <w:spacing w:after="120" w:line="256" w:lineRule="auto"/>
              <w:contextualSpacing/>
              <w:rPr>
                <w:rFonts w:ascii="Times New Roman" w:hAnsi="Times New Roman" w:cs="Times New Roman"/>
              </w:rPr>
            </w:pPr>
            <w:r>
              <w:rPr>
                <w:rFonts w:ascii="Times New Roman" w:hAnsi="Times New Roman" w:cs="Times New Roman"/>
              </w:rPr>
              <w:lastRenderedPageBreak/>
              <w:t>ք. Երևան, Տերյան 44, 3րդ հարկ</w:t>
            </w:r>
          </w:p>
          <w:p w14:paraId="0E2EC117" w14:textId="29A8BD7D" w:rsidR="00495ADE" w:rsidRPr="003D1F6E" w:rsidRDefault="00495ADE" w:rsidP="003D1F6E">
            <w:pPr>
              <w:spacing w:after="0"/>
              <w:jc w:val="both"/>
              <w:rPr>
                <w:rFonts w:ascii="Times New Roman" w:hAnsi="Times New Roman" w:cs="Times New Roman"/>
              </w:rPr>
            </w:pPr>
            <w:r>
              <w:rPr>
                <w:rFonts w:ascii="Times New Roman" w:hAnsi="Times New Roman" w:cs="Times New Roman"/>
              </w:rPr>
              <w:t xml:space="preserve">տնօրենի տեղակալ </w:t>
            </w:r>
            <w:r w:rsidRPr="003D1F6E">
              <w:rPr>
                <w:rFonts w:ascii="Times New Roman" w:hAnsi="Times New Roman" w:cs="Times New Roman"/>
              </w:rPr>
              <w:t>-</w:t>
            </w:r>
            <w:r>
              <w:rPr>
                <w:rFonts w:ascii="Times New Roman" w:hAnsi="Times New Roman" w:cs="Times New Roman"/>
              </w:rPr>
              <w:t xml:space="preserve"> </w:t>
            </w:r>
            <w:r w:rsidRPr="003D1F6E">
              <w:rPr>
                <w:rFonts w:ascii="Times New Roman" w:hAnsi="Times New Roman" w:cs="Times New Roman"/>
              </w:rPr>
              <w:t xml:space="preserve">«Երևան, Վարշավա, Տիրանա մայրաքաղաքների համագործակցությունը վտանգավոր թափոնների կառավարման ընդհանուր մարտահրավերների շուրջ» </w:t>
            </w:r>
          </w:p>
          <w:p w14:paraId="642ABB81" w14:textId="34F60B46" w:rsidR="00495ADE" w:rsidRDefault="00495ADE" w:rsidP="003D1F6E">
            <w:pPr>
              <w:spacing w:after="0"/>
              <w:rPr>
                <w:rFonts w:ascii="Times New Roman" w:hAnsi="Times New Roman" w:cs="Times New Roman"/>
                <w:lang w:val="hy-AM"/>
              </w:rPr>
            </w:pPr>
            <w:r w:rsidRPr="003D1F6E">
              <w:rPr>
                <w:rFonts w:ascii="Times New Roman" w:hAnsi="Times New Roman" w:cs="Times New Roman"/>
              </w:rPr>
              <w:t>ծրագրի ղեկավար / ֆինանսական տնօրեն/</w:t>
            </w:r>
            <w:r w:rsidRPr="003D1F6E">
              <w:rPr>
                <w:rFonts w:ascii="Times New Roman" w:hAnsi="Times New Roman" w:cs="Times New Roman"/>
                <w:lang w:val="hy-AM"/>
              </w:rPr>
              <w:t xml:space="preserve"> պրն. Սերգեյ Մելիք-Յոլչյանին </w:t>
            </w:r>
          </w:p>
          <w:p w14:paraId="5E1B3E97" w14:textId="563D0F9B" w:rsidR="00AA07B7" w:rsidRDefault="00AA07B7" w:rsidP="003D1F6E">
            <w:pPr>
              <w:spacing w:after="0"/>
              <w:rPr>
                <w:rFonts w:ascii="Times New Roman" w:hAnsi="Times New Roman" w:cs="Times New Roman"/>
                <w:lang w:val="hy-AM"/>
              </w:rPr>
            </w:pPr>
          </w:p>
          <w:p w14:paraId="7F8C8499" w14:textId="4CC7D2E0" w:rsidR="00AA07B7" w:rsidRDefault="00AA07B7" w:rsidP="003D1F6E">
            <w:pPr>
              <w:spacing w:after="0"/>
              <w:rPr>
                <w:rFonts w:ascii="Times New Roman" w:hAnsi="Times New Roman" w:cs="Times New Roman"/>
                <w:lang w:val="hy-AM"/>
              </w:rPr>
            </w:pPr>
          </w:p>
          <w:p w14:paraId="28F1A76E" w14:textId="77777777" w:rsidR="00AA07B7" w:rsidRPr="003D1F6E" w:rsidRDefault="00AA07B7" w:rsidP="003D1F6E">
            <w:pPr>
              <w:spacing w:after="0"/>
              <w:rPr>
                <w:rFonts w:ascii="Times New Roman" w:hAnsi="Times New Roman" w:cs="Times New Roman"/>
                <w:lang w:val="hy-AM"/>
              </w:rPr>
            </w:pPr>
          </w:p>
          <w:p w14:paraId="56682173" w14:textId="497A31E3" w:rsidR="00495ADE" w:rsidRPr="00683905" w:rsidRDefault="00495ADE" w:rsidP="002C1475">
            <w:pPr>
              <w:spacing w:after="120" w:line="256" w:lineRule="auto"/>
              <w:contextualSpacing/>
              <w:jc w:val="both"/>
              <w:rPr>
                <w:rFonts w:ascii="Times New Roman" w:hAnsi="Times New Roman" w:cs="Times New Roman"/>
                <w:szCs w:val="20"/>
                <w:lang w:val="hy-AM"/>
              </w:rPr>
            </w:pPr>
            <w:r w:rsidRPr="003D1F6E">
              <w:rPr>
                <w:rFonts w:ascii="Times New Roman" w:hAnsi="Times New Roman" w:cs="Times New Roman"/>
                <w:lang w:val="hy-AM"/>
              </w:rPr>
              <w:t xml:space="preserve">Էլ. փոստ՝ </w:t>
            </w:r>
            <w:hyperlink r:id="rId10" w:history="1">
              <w:r w:rsidRPr="003D1F6E">
                <w:rPr>
                  <w:rStyle w:val="Hyperlink"/>
                  <w:rFonts w:ascii="Times New Roman" w:hAnsi="Times New Roman" w:cs="Times New Roman"/>
                  <w:lang w:val="hy-AM"/>
                </w:rPr>
                <w:t>info@hazardouswm.eu</w:t>
              </w:r>
            </w:hyperlink>
          </w:p>
          <w:p w14:paraId="73D80D98" w14:textId="3C2620AE" w:rsidR="00495ADE" w:rsidRPr="000941D1" w:rsidRDefault="00495ADE" w:rsidP="000941D1">
            <w:pPr>
              <w:spacing w:after="120" w:line="256" w:lineRule="auto"/>
              <w:contextualSpacing/>
              <w:jc w:val="both"/>
              <w:rPr>
                <w:rFonts w:ascii="Times New Roman" w:hAnsi="Times New Roman" w:cs="Times New Roman"/>
                <w:b/>
                <w:bCs/>
                <w:i/>
                <w:iCs/>
                <w:u w:val="single"/>
                <w:lang w:val="hy-AM"/>
              </w:rPr>
            </w:pPr>
            <w:r w:rsidRPr="000941D1">
              <w:rPr>
                <w:rFonts w:ascii="Times New Roman" w:hAnsi="Times New Roman" w:cs="Times New Roman"/>
                <w:b/>
                <w:bCs/>
                <w:i/>
                <w:iCs/>
                <w:u w:val="single"/>
                <w:lang w:val="hy-AM"/>
              </w:rPr>
              <w:t>Ենթադրամաշնորհառուի հասց</w:t>
            </w:r>
            <w:r w:rsidR="003F1B9F" w:rsidRPr="000941D1">
              <w:rPr>
                <w:rFonts w:ascii="Times New Roman" w:hAnsi="Times New Roman" w:cs="Times New Roman"/>
                <w:b/>
                <w:bCs/>
                <w:i/>
                <w:iCs/>
                <w:u w:val="single"/>
                <w:lang w:val="hy-AM"/>
              </w:rPr>
              <w:t>ե</w:t>
            </w:r>
            <w:r w:rsidRPr="000941D1">
              <w:rPr>
                <w:rFonts w:ascii="Times New Roman" w:hAnsi="Times New Roman" w:cs="Times New Roman"/>
                <w:b/>
                <w:bCs/>
                <w:i/>
                <w:iCs/>
                <w:u w:val="single"/>
                <w:lang w:val="hy-AM"/>
              </w:rPr>
              <w:t>՝</w:t>
            </w:r>
          </w:p>
          <w:p w14:paraId="428E71BC" w14:textId="77777777" w:rsidR="00495ADE" w:rsidRPr="00683905" w:rsidRDefault="00495ADE" w:rsidP="002C1475">
            <w:pPr>
              <w:spacing w:after="120" w:line="256" w:lineRule="auto"/>
              <w:contextualSpacing/>
              <w:jc w:val="both"/>
              <w:rPr>
                <w:rFonts w:ascii="Times New Roman" w:hAnsi="Times New Roman" w:cs="Times New Roman"/>
                <w:color w:val="FF0000"/>
                <w:lang w:val="hy-AM"/>
              </w:rPr>
            </w:pPr>
            <w:r w:rsidRPr="00683905">
              <w:rPr>
                <w:rFonts w:ascii="Times New Roman" w:hAnsi="Times New Roman" w:cs="Times New Roman"/>
                <w:color w:val="FF0000"/>
                <w:highlight w:val="yellow"/>
                <w:lang w:val="hy-AM"/>
              </w:rPr>
              <w:t>&lt;</w:t>
            </w:r>
            <w:r w:rsidRPr="00683905">
              <w:rPr>
                <w:rFonts w:ascii="Times New Roman" w:hAnsi="Times New Roman" w:cs="Times New Roman"/>
                <w:b/>
                <w:color w:val="FF0000"/>
                <w:highlight w:val="yellow"/>
                <w:lang w:val="hy-AM"/>
              </w:rPr>
              <w:t>Ենթադրամաշնորհառուի</w:t>
            </w:r>
            <w:r w:rsidRPr="00683905">
              <w:rPr>
                <w:rFonts w:ascii="Times New Roman" w:hAnsi="Times New Roman" w:cs="Times New Roman"/>
                <w:color w:val="FF0000"/>
                <w:highlight w:val="yellow"/>
                <w:lang w:val="hy-AM"/>
              </w:rPr>
              <w:t xml:space="preserve"> հասցե գրագրության համար &gt;</w:t>
            </w:r>
          </w:p>
          <w:p w14:paraId="6DAE1A54" w14:textId="77777777" w:rsidR="00495ADE" w:rsidRPr="00683905" w:rsidRDefault="00495ADE" w:rsidP="002C1475">
            <w:pPr>
              <w:spacing w:after="120" w:line="256" w:lineRule="auto"/>
              <w:contextualSpacing/>
              <w:jc w:val="both"/>
              <w:rPr>
                <w:rFonts w:ascii="Times New Roman" w:hAnsi="Times New Roman" w:cs="Times New Roman"/>
                <w:color w:val="FF0000"/>
                <w:lang w:val="hy-AM"/>
              </w:rPr>
            </w:pPr>
            <w:r w:rsidRPr="00683905">
              <w:rPr>
                <w:rFonts w:ascii="Times New Roman" w:hAnsi="Times New Roman" w:cs="Times New Roman"/>
                <w:color w:val="FF0000"/>
                <w:highlight w:val="yellow"/>
                <w:lang w:val="hy-AM"/>
              </w:rPr>
              <w:t>&lt;կոնտակտային անձ &gt;</w:t>
            </w:r>
          </w:p>
          <w:p w14:paraId="4B34EAF9" w14:textId="77777777" w:rsidR="00495ADE" w:rsidRPr="00683905" w:rsidRDefault="00495ADE" w:rsidP="002C1475">
            <w:pPr>
              <w:spacing w:after="120" w:line="256" w:lineRule="auto"/>
              <w:contextualSpacing/>
              <w:jc w:val="both"/>
              <w:rPr>
                <w:rFonts w:ascii="Times New Roman" w:hAnsi="Times New Roman" w:cs="Times New Roman"/>
                <w:color w:val="FF0000"/>
                <w:lang w:val="hy-AM"/>
              </w:rPr>
            </w:pPr>
            <w:r w:rsidRPr="00683905">
              <w:rPr>
                <w:rFonts w:ascii="Times New Roman" w:hAnsi="Times New Roman" w:cs="Times New Roman"/>
                <w:lang w:val="hy-AM"/>
              </w:rPr>
              <w:t xml:space="preserve">Էլ. փոստ՝ </w:t>
            </w:r>
            <w:r w:rsidRPr="00683905">
              <w:rPr>
                <w:rFonts w:ascii="Times New Roman" w:hAnsi="Times New Roman" w:cs="Times New Roman"/>
                <w:color w:val="FF0000"/>
                <w:highlight w:val="yellow"/>
                <w:lang w:val="hy-AM"/>
              </w:rPr>
              <w:t>&lt;էլ. փոստի հասցե &gt;</w:t>
            </w:r>
          </w:p>
          <w:p w14:paraId="28CF31A1" w14:textId="07844468" w:rsidR="00495ADE" w:rsidRPr="00683905" w:rsidRDefault="00495ADE" w:rsidP="002C1475">
            <w:pPr>
              <w:tabs>
                <w:tab w:val="left" w:pos="6237"/>
              </w:tabs>
              <w:autoSpaceDE w:val="0"/>
              <w:autoSpaceDN w:val="0"/>
              <w:adjustRightInd w:val="0"/>
              <w:spacing w:before="60" w:after="60" w:line="240" w:lineRule="auto"/>
              <w:jc w:val="both"/>
              <w:rPr>
                <w:rFonts w:ascii="Times New Roman" w:hAnsi="Times New Roman" w:cs="Times New Roman"/>
                <w:lang w:val="hy-AM"/>
              </w:rPr>
            </w:pPr>
          </w:p>
        </w:tc>
        <w:tc>
          <w:tcPr>
            <w:tcW w:w="333" w:type="dxa"/>
            <w:gridSpan w:val="2"/>
            <w:tcBorders>
              <w:top w:val="nil"/>
              <w:left w:val="nil"/>
              <w:bottom w:val="nil"/>
              <w:right w:val="nil"/>
            </w:tcBorders>
          </w:tcPr>
          <w:p w14:paraId="4EE1AF5F" w14:textId="77777777" w:rsidR="00495ADE" w:rsidRPr="00495ADE" w:rsidRDefault="00495ADE" w:rsidP="00995067">
            <w:pPr>
              <w:spacing w:after="120" w:line="259" w:lineRule="auto"/>
              <w:contextualSpacing/>
              <w:jc w:val="both"/>
              <w:rPr>
                <w:rFonts w:ascii="Times New Roman" w:hAnsi="Times New Roman" w:cs="Times New Roman"/>
                <w:lang w:val="hy-AM"/>
              </w:rPr>
            </w:pPr>
          </w:p>
        </w:tc>
        <w:tc>
          <w:tcPr>
            <w:tcW w:w="3895" w:type="dxa"/>
            <w:tcBorders>
              <w:top w:val="nil"/>
              <w:left w:val="nil"/>
              <w:bottom w:val="nil"/>
              <w:right w:val="nil"/>
            </w:tcBorders>
          </w:tcPr>
          <w:p w14:paraId="55F23F9E" w14:textId="50CC7642" w:rsidR="00495ADE" w:rsidRPr="00717728" w:rsidRDefault="00495ADE" w:rsidP="00995067">
            <w:pPr>
              <w:spacing w:after="120" w:line="259" w:lineRule="auto"/>
              <w:contextualSpacing/>
              <w:jc w:val="both"/>
              <w:rPr>
                <w:rFonts w:ascii="Times New Roman" w:hAnsi="Times New Roman" w:cs="Times New Roman"/>
              </w:rPr>
            </w:pPr>
            <w:r w:rsidRPr="00717728">
              <w:rPr>
                <w:rFonts w:ascii="Times New Roman" w:hAnsi="Times New Roman" w:cs="Times New Roman"/>
              </w:rPr>
              <w:t>Any communication relating to this Contract shall be in writing, state the number and title of the Action and be sent to the following addresses:</w:t>
            </w:r>
          </w:p>
          <w:p w14:paraId="497F6943" w14:textId="126DABF8" w:rsidR="00495ADE" w:rsidRPr="00717728" w:rsidRDefault="00495ADE" w:rsidP="00995067">
            <w:pPr>
              <w:spacing w:after="120" w:line="259" w:lineRule="auto"/>
              <w:ind w:left="567"/>
              <w:contextualSpacing/>
              <w:jc w:val="both"/>
              <w:rPr>
                <w:rFonts w:ascii="Times New Roman" w:hAnsi="Times New Roman" w:cs="Times New Roman"/>
                <w:b/>
                <w:bCs/>
                <w:i/>
                <w:iCs/>
                <w:u w:val="single"/>
              </w:rPr>
            </w:pPr>
            <w:r w:rsidRPr="00717728">
              <w:rPr>
                <w:rFonts w:ascii="Times New Roman" w:hAnsi="Times New Roman" w:cs="Times New Roman"/>
                <w:b/>
                <w:bCs/>
                <w:i/>
                <w:iCs/>
                <w:u w:val="single"/>
              </w:rPr>
              <w:t xml:space="preserve">For the </w:t>
            </w:r>
            <w:r>
              <w:rPr>
                <w:rFonts w:ascii="Times New Roman" w:hAnsi="Times New Roman" w:cs="Times New Roman"/>
                <w:b/>
                <w:bCs/>
                <w:i/>
                <w:iCs/>
                <w:u w:val="single"/>
              </w:rPr>
              <w:t>Sub-grantor</w:t>
            </w:r>
          </w:p>
          <w:p w14:paraId="37F61984" w14:textId="77777777" w:rsidR="00495ADE" w:rsidRPr="00717728" w:rsidRDefault="00495ADE" w:rsidP="00995067">
            <w:pPr>
              <w:spacing w:after="120" w:line="259" w:lineRule="auto"/>
              <w:contextualSpacing/>
              <w:rPr>
                <w:rFonts w:ascii="Times New Roman" w:hAnsi="Times New Roman" w:cs="Times New Roman"/>
                <w:b/>
                <w:bCs/>
              </w:rPr>
            </w:pPr>
            <w:r w:rsidRPr="00717728">
              <w:rPr>
                <w:rFonts w:ascii="Times New Roman" w:hAnsi="Times New Roman" w:cs="Times New Roman"/>
                <w:b/>
                <w:bCs/>
              </w:rPr>
              <w:lastRenderedPageBreak/>
              <w:t xml:space="preserve">Yerevan Municipality ‘IPIU Building Up of Yerevan’ CNCO, </w:t>
            </w:r>
          </w:p>
          <w:p w14:paraId="773D9F30" w14:textId="7C532D4D" w:rsidR="00495ADE" w:rsidRPr="00717728" w:rsidRDefault="00495ADE" w:rsidP="00995067">
            <w:pPr>
              <w:spacing w:after="120" w:line="259" w:lineRule="auto"/>
              <w:contextualSpacing/>
              <w:rPr>
                <w:rFonts w:ascii="Times New Roman" w:hAnsi="Times New Roman" w:cs="Times New Roman"/>
              </w:rPr>
            </w:pPr>
            <w:r>
              <w:rPr>
                <w:rFonts w:ascii="Times New Roman" w:hAnsi="Times New Roman" w:cs="Times New Roman"/>
              </w:rPr>
              <w:t>44 Teryan str., 3</w:t>
            </w:r>
            <w:r w:rsidRPr="00683905">
              <w:rPr>
                <w:rFonts w:ascii="Times New Roman" w:hAnsi="Times New Roman" w:cs="Times New Roman"/>
                <w:vertAlign w:val="superscript"/>
              </w:rPr>
              <w:t>rd</w:t>
            </w:r>
            <w:r>
              <w:rPr>
                <w:rFonts w:ascii="Times New Roman" w:hAnsi="Times New Roman" w:cs="Times New Roman"/>
              </w:rPr>
              <w:t xml:space="preserve"> floor,</w:t>
            </w:r>
          </w:p>
          <w:p w14:paraId="41D6AD1C" w14:textId="77777777" w:rsidR="00495ADE" w:rsidRPr="00683905" w:rsidRDefault="00495ADE" w:rsidP="00C034EE">
            <w:pPr>
              <w:rPr>
                <w:rFonts w:ascii="Times New Roman" w:hAnsi="Times New Roman" w:cs="Times New Roman"/>
              </w:rPr>
            </w:pPr>
            <w:r w:rsidRPr="00717728">
              <w:rPr>
                <w:rFonts w:ascii="Times New Roman" w:hAnsi="Times New Roman" w:cs="Times New Roman"/>
              </w:rPr>
              <w:t xml:space="preserve">For the attention of Mr. Sergey Melik-Yolchyan, </w:t>
            </w:r>
            <w:r w:rsidRPr="00683905">
              <w:rPr>
                <w:rFonts w:ascii="Times New Roman" w:hAnsi="Times New Roman" w:cs="Times New Roman"/>
              </w:rPr>
              <w:t>Deputy CEO – “Capital Cities Collaborating on Common Challenges in Hazardous Waste Management – Yerevan, Warsaw, Tirana” project director /financial director/</w:t>
            </w:r>
          </w:p>
          <w:p w14:paraId="1210E429" w14:textId="21B01261" w:rsidR="00495ADE" w:rsidRPr="00717728" w:rsidRDefault="00495ADE" w:rsidP="00995067">
            <w:pPr>
              <w:spacing w:after="120" w:line="259" w:lineRule="auto"/>
              <w:contextualSpacing/>
              <w:rPr>
                <w:rFonts w:ascii="Times New Roman" w:hAnsi="Times New Roman" w:cs="Times New Roman"/>
              </w:rPr>
            </w:pPr>
          </w:p>
          <w:p w14:paraId="4A3F50D8" w14:textId="4EC96BD8" w:rsidR="00495ADE" w:rsidRPr="00717728" w:rsidRDefault="00495ADE" w:rsidP="00914100">
            <w:pPr>
              <w:spacing w:after="120" w:line="256" w:lineRule="auto"/>
              <w:contextualSpacing/>
              <w:jc w:val="both"/>
              <w:rPr>
                <w:rFonts w:ascii="Times New Roman" w:hAnsi="Times New Roman" w:cs="Times New Roman"/>
                <w:szCs w:val="20"/>
              </w:rPr>
            </w:pPr>
            <w:r w:rsidRPr="00717728">
              <w:rPr>
                <w:rFonts w:ascii="Times New Roman" w:hAnsi="Times New Roman" w:cs="Times New Roman"/>
              </w:rPr>
              <w:t xml:space="preserve">E-mail: </w:t>
            </w:r>
            <w:hyperlink r:id="rId11" w:history="1">
              <w:r w:rsidRPr="00C034EE">
                <w:rPr>
                  <w:rStyle w:val="Hyperlink"/>
                  <w:rFonts w:ascii="Times New Roman" w:hAnsi="Times New Roman" w:cs="Times New Roman"/>
                </w:rPr>
                <w:t>info@hazardouswm.eu</w:t>
              </w:r>
            </w:hyperlink>
          </w:p>
          <w:p w14:paraId="7F9D9590" w14:textId="1A95FB83" w:rsidR="00495ADE" w:rsidRPr="00717728" w:rsidRDefault="00495ADE" w:rsidP="00683905">
            <w:pPr>
              <w:spacing w:after="120" w:line="259" w:lineRule="auto"/>
              <w:contextualSpacing/>
              <w:jc w:val="both"/>
              <w:rPr>
                <w:rFonts w:ascii="Times New Roman" w:hAnsi="Times New Roman" w:cs="Times New Roman"/>
                <w:b/>
                <w:bCs/>
                <w:i/>
                <w:iCs/>
                <w:color w:val="0070C0"/>
                <w:u w:val="single"/>
              </w:rPr>
            </w:pPr>
            <w:r w:rsidRPr="00717728">
              <w:rPr>
                <w:rFonts w:ascii="Times New Roman" w:hAnsi="Times New Roman" w:cs="Times New Roman"/>
                <w:b/>
                <w:bCs/>
                <w:i/>
                <w:iCs/>
                <w:u w:val="single"/>
              </w:rPr>
              <w:t xml:space="preserve">For the </w:t>
            </w:r>
            <w:r w:rsidRPr="000941D1">
              <w:rPr>
                <w:rFonts w:ascii="Times New Roman" w:hAnsi="Times New Roman" w:cs="Times New Roman"/>
                <w:b/>
                <w:bCs/>
                <w:i/>
                <w:iCs/>
                <w:u w:val="single"/>
              </w:rPr>
              <w:t xml:space="preserve">Sub-Grantee </w:t>
            </w:r>
          </w:p>
          <w:p w14:paraId="5B7FA015" w14:textId="77777777" w:rsidR="00495ADE" w:rsidRPr="00717728" w:rsidRDefault="00495ADE" w:rsidP="00995067">
            <w:pPr>
              <w:spacing w:after="120" w:line="259" w:lineRule="auto"/>
              <w:contextualSpacing/>
              <w:jc w:val="both"/>
              <w:rPr>
                <w:rFonts w:ascii="Times New Roman" w:hAnsi="Times New Roman" w:cs="Times New Roman"/>
                <w:color w:val="FF0000"/>
              </w:rPr>
            </w:pPr>
            <w:r w:rsidRPr="00717728">
              <w:rPr>
                <w:rFonts w:ascii="Times New Roman" w:hAnsi="Times New Roman" w:cs="Times New Roman"/>
                <w:color w:val="FF0000"/>
                <w:highlight w:val="yellow"/>
              </w:rPr>
              <w:t xml:space="preserve">&lt;address of the </w:t>
            </w:r>
            <w:r w:rsidRPr="00717728">
              <w:rPr>
                <w:rFonts w:ascii="Times New Roman" w:hAnsi="Times New Roman" w:cs="Times New Roman"/>
                <w:b/>
                <w:bCs/>
                <w:color w:val="FF0000"/>
                <w:highlight w:val="yellow"/>
                <w:u w:val="single"/>
              </w:rPr>
              <w:t>Sub-grantee</w:t>
            </w:r>
            <w:r w:rsidRPr="00717728">
              <w:rPr>
                <w:rFonts w:ascii="Times New Roman" w:hAnsi="Times New Roman" w:cs="Times New Roman"/>
                <w:color w:val="FF0000"/>
                <w:highlight w:val="yellow"/>
              </w:rPr>
              <w:t xml:space="preserve"> for correspondence to be inserted&gt;</w:t>
            </w:r>
          </w:p>
          <w:p w14:paraId="4A2D3FB0" w14:textId="77777777" w:rsidR="00495ADE" w:rsidRPr="00717728" w:rsidRDefault="00495ADE" w:rsidP="00995067">
            <w:pPr>
              <w:spacing w:after="120" w:line="259" w:lineRule="auto"/>
              <w:contextualSpacing/>
              <w:jc w:val="both"/>
              <w:rPr>
                <w:rFonts w:ascii="Times New Roman" w:hAnsi="Times New Roman" w:cs="Times New Roman"/>
                <w:color w:val="FF0000"/>
              </w:rPr>
            </w:pPr>
            <w:r w:rsidRPr="00717728">
              <w:rPr>
                <w:rFonts w:ascii="Times New Roman" w:hAnsi="Times New Roman" w:cs="Times New Roman"/>
                <w:color w:val="FF0000"/>
                <w:highlight w:val="yellow"/>
              </w:rPr>
              <w:t>&lt;contact person to be inserted&gt;</w:t>
            </w:r>
          </w:p>
          <w:p w14:paraId="2FAFB1E6" w14:textId="704BB713" w:rsidR="00495ADE" w:rsidRPr="00717728" w:rsidRDefault="00495ADE" w:rsidP="00995067">
            <w:pPr>
              <w:spacing w:after="120" w:line="259" w:lineRule="auto"/>
              <w:contextualSpacing/>
              <w:jc w:val="both"/>
              <w:rPr>
                <w:rFonts w:ascii="Times New Roman" w:hAnsi="Times New Roman" w:cs="Times New Roman"/>
                <w:color w:val="FF0000"/>
              </w:rPr>
            </w:pPr>
            <w:r w:rsidRPr="00717728">
              <w:rPr>
                <w:rFonts w:ascii="Times New Roman" w:hAnsi="Times New Roman" w:cs="Times New Roman"/>
              </w:rPr>
              <w:t xml:space="preserve">E-mail: </w:t>
            </w:r>
            <w:r w:rsidRPr="00717728">
              <w:rPr>
                <w:rFonts w:ascii="Times New Roman" w:hAnsi="Times New Roman" w:cs="Times New Roman"/>
                <w:color w:val="FF0000"/>
                <w:highlight w:val="yellow"/>
              </w:rPr>
              <w:t>&lt;e-mail to be inserted&gt;</w:t>
            </w:r>
          </w:p>
        </w:tc>
      </w:tr>
      <w:tr w:rsidR="00495ADE" w:rsidRPr="00717728" w14:paraId="024B57D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CB22731" w14:textId="0D455782" w:rsidR="00495ADE" w:rsidRPr="00AA07B7" w:rsidRDefault="00495ADE" w:rsidP="00683905">
            <w:pPr>
              <w:tabs>
                <w:tab w:val="left" w:pos="6237"/>
              </w:tabs>
              <w:autoSpaceDE w:val="0"/>
              <w:autoSpaceDN w:val="0"/>
              <w:adjustRightInd w:val="0"/>
              <w:spacing w:before="60" w:after="60" w:line="240" w:lineRule="auto"/>
              <w:rPr>
                <w:rFonts w:ascii="Times New Roman" w:hAnsi="Times New Roman" w:cs="Times New Roman"/>
                <w:b/>
              </w:rPr>
            </w:pPr>
            <w:bookmarkStart w:id="9" w:name="_Toc70236973"/>
            <w:r w:rsidRPr="00AA07B7">
              <w:rPr>
                <w:rFonts w:ascii="Times New Roman" w:hAnsi="Times New Roman" w:cs="Times New Roman"/>
                <w:b/>
              </w:rPr>
              <w:lastRenderedPageBreak/>
              <w:t xml:space="preserve">ՀՈԴՎԱԾ 6 — Ենթադրամաշնորհառուի </w:t>
            </w:r>
            <w:r w:rsidRPr="000941D1">
              <w:rPr>
                <w:rFonts w:ascii="Times New Roman" w:hAnsi="Times New Roman" w:cs="Times New Roman"/>
                <w:b/>
              </w:rPr>
              <w:t>[</w:t>
            </w:r>
            <w:r w:rsidRPr="00AA07B7">
              <w:rPr>
                <w:rFonts w:ascii="Times New Roman" w:hAnsi="Times New Roman" w:cs="Times New Roman"/>
                <w:b/>
              </w:rPr>
              <w:t>պարտավորությունները</w:t>
            </w:r>
            <w:bookmarkEnd w:id="9"/>
          </w:p>
        </w:tc>
        <w:tc>
          <w:tcPr>
            <w:tcW w:w="333" w:type="dxa"/>
            <w:gridSpan w:val="2"/>
            <w:tcBorders>
              <w:top w:val="nil"/>
              <w:left w:val="nil"/>
              <w:bottom w:val="nil"/>
              <w:right w:val="nil"/>
            </w:tcBorders>
          </w:tcPr>
          <w:p w14:paraId="18BA2670" w14:textId="77777777" w:rsidR="00495ADE" w:rsidRPr="00AA07B7" w:rsidRDefault="00495ADE" w:rsidP="00683905">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299633BB" w14:textId="5D8BEDC3" w:rsidR="00495ADE" w:rsidRPr="00AA07B7" w:rsidRDefault="00495ADE" w:rsidP="00683905">
            <w:pPr>
              <w:tabs>
                <w:tab w:val="left" w:pos="6237"/>
              </w:tabs>
              <w:spacing w:before="60" w:after="60" w:line="240" w:lineRule="auto"/>
              <w:jc w:val="both"/>
              <w:rPr>
                <w:rFonts w:ascii="Times New Roman" w:hAnsi="Times New Roman" w:cs="Times New Roman"/>
                <w:b/>
                <w:bCs/>
              </w:rPr>
            </w:pPr>
            <w:bookmarkStart w:id="10" w:name="_Toc67590173"/>
            <w:r w:rsidRPr="00AA07B7">
              <w:rPr>
                <w:rFonts w:ascii="Times New Roman" w:hAnsi="Times New Roman" w:cs="Times New Roman"/>
                <w:b/>
              </w:rPr>
              <w:t xml:space="preserve">ARTICLE 6 — Role of the </w:t>
            </w:r>
            <w:r w:rsidR="00B23CCF" w:rsidRPr="000941D1">
              <w:rPr>
                <w:rFonts w:ascii="Times New Roman" w:hAnsi="Times New Roman" w:cs="Times New Roman"/>
                <w:b/>
              </w:rPr>
              <w:t xml:space="preserve">Sub-Grantee </w:t>
            </w:r>
            <w:bookmarkEnd w:id="10"/>
          </w:p>
        </w:tc>
      </w:tr>
      <w:tr w:rsidR="00495ADE" w:rsidRPr="00717728" w14:paraId="6937266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9A86043" w14:textId="1394949D" w:rsidR="00495ADE" w:rsidRPr="00AA07B7" w:rsidRDefault="00495ADE" w:rsidP="002C1475">
            <w:pPr>
              <w:tabs>
                <w:tab w:val="left" w:pos="6237"/>
              </w:tabs>
              <w:autoSpaceDE w:val="0"/>
              <w:autoSpaceDN w:val="0"/>
              <w:adjustRightInd w:val="0"/>
              <w:spacing w:before="60" w:after="60" w:line="240" w:lineRule="auto"/>
              <w:jc w:val="both"/>
              <w:rPr>
                <w:rFonts w:ascii="Times New Roman" w:hAnsi="Times New Roman" w:cs="Times New Roman"/>
              </w:rPr>
            </w:pPr>
            <w:r w:rsidRPr="00AA07B7">
              <w:rPr>
                <w:rFonts w:ascii="Times New Roman" w:hAnsi="Times New Roman" w:cs="Times New Roman"/>
              </w:rPr>
              <w:t xml:space="preserve">6.1. </w:t>
            </w:r>
            <w:r w:rsidRPr="000941D1">
              <w:rPr>
                <w:rFonts w:ascii="Times New Roman" w:hAnsi="Times New Roman" w:cs="Times New Roman"/>
                <w:bCs/>
              </w:rPr>
              <w:t>Ենթադրամաշնորհառուն</w:t>
            </w:r>
            <w:r w:rsidR="00232637" w:rsidRPr="000941D1">
              <w:rPr>
                <w:rFonts w:ascii="Times New Roman" w:hAnsi="Times New Roman" w:cs="Times New Roman"/>
                <w:bCs/>
              </w:rPr>
              <w:t xml:space="preserve"> </w:t>
            </w:r>
            <w:r w:rsidRPr="00AA07B7">
              <w:rPr>
                <w:rFonts w:ascii="Times New Roman" w:hAnsi="Times New Roman" w:cs="Times New Roman"/>
              </w:rPr>
              <w:t>պարտավոր են՝</w:t>
            </w:r>
          </w:p>
          <w:p w14:paraId="50167951" w14:textId="710C6F2B" w:rsidR="00495ADE" w:rsidRPr="00AA07B7" w:rsidRDefault="00495ADE" w:rsidP="001019CC">
            <w:pPr>
              <w:pStyle w:val="Default"/>
              <w:spacing w:after="120" w:line="259" w:lineRule="auto"/>
              <w:ind w:left="360"/>
              <w:contextualSpacing/>
              <w:jc w:val="both"/>
              <w:rPr>
                <w:rFonts w:ascii="Times New Roman" w:hAnsi="Times New Roman" w:cs="Times New Roman"/>
                <w:color w:val="auto"/>
                <w:sz w:val="22"/>
                <w:szCs w:val="22"/>
              </w:rPr>
            </w:pPr>
            <w:r w:rsidRPr="000941D1">
              <w:rPr>
                <w:rFonts w:ascii="Times New Roman" w:hAnsi="Times New Roman" w:cs="Times New Roman"/>
                <w:color w:val="auto"/>
                <w:sz w:val="22"/>
                <w:szCs w:val="22"/>
              </w:rPr>
              <w:t xml:space="preserve">Ա. իրականացնել Գործողությունը vis-à-vis Ենթադրամաշնորհատուի նկատմամբ՝ ձեռնարկելով բոլոր անհրաժեշտ և ողջամիտ միջոցառումները՝ ապահովելու Գործողության իրականացումը՝ համաձայն Հավելված I-ում ներկայացված ենթադրամաշնորհի նկարագրության, Պայամանագրի պայմանների, համապատասխան գործող օրենսդրության և Հայտատուների ուղեցույցների: </w:t>
            </w:r>
            <w:bookmarkStart w:id="11" w:name="_Hlk67577836"/>
            <w:r w:rsidRPr="000941D1">
              <w:rPr>
                <w:rFonts w:ascii="Times New Roman" w:hAnsi="Times New Roman" w:cs="Times New Roman"/>
                <w:color w:val="auto"/>
                <w:sz w:val="22"/>
                <w:szCs w:val="22"/>
              </w:rPr>
              <w:t xml:space="preserve">Այս նպատակով Ենթադրամաշնորհառուն պարտավոր են Գործողությունն իրականացնել անհրաժեշտ հոգածությամբ, ջանասիրությամբ, արդյունավետ և թափանցիկ կերպով՝ հիմք ընդունելով կայուն ֆինանսական կառավարման սկզբունքը և ոլորտի լավագույն փորձը, </w:t>
            </w:r>
            <w:bookmarkEnd w:id="11"/>
          </w:p>
        </w:tc>
        <w:tc>
          <w:tcPr>
            <w:tcW w:w="333" w:type="dxa"/>
            <w:gridSpan w:val="2"/>
            <w:tcBorders>
              <w:top w:val="nil"/>
              <w:left w:val="nil"/>
              <w:bottom w:val="nil"/>
              <w:right w:val="nil"/>
            </w:tcBorders>
          </w:tcPr>
          <w:p w14:paraId="08D12EA3" w14:textId="77777777" w:rsidR="00495ADE" w:rsidRPr="00AA07B7" w:rsidRDefault="00495ADE" w:rsidP="00995067">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3C6FC22" w14:textId="6222F02F" w:rsidR="00495ADE" w:rsidRPr="00AA07B7" w:rsidRDefault="00495ADE" w:rsidP="00995067">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6.1. The </w:t>
            </w:r>
            <w:r w:rsidRPr="000941D1">
              <w:rPr>
                <w:rFonts w:ascii="Times New Roman" w:hAnsi="Times New Roman" w:cs="Times New Roman"/>
                <w:bCs/>
              </w:rPr>
              <w:t xml:space="preserve">Sub-Grantee </w:t>
            </w:r>
            <w:r w:rsidRPr="00AA07B7">
              <w:rPr>
                <w:rFonts w:ascii="Times New Roman" w:hAnsi="Times New Roman" w:cs="Times New Roman"/>
                <w:bCs/>
                <w:sz w:val="20"/>
                <w:szCs w:val="20"/>
              </w:rPr>
              <w:t>s</w:t>
            </w:r>
            <w:r w:rsidRPr="00AA07B7">
              <w:rPr>
                <w:rFonts w:ascii="Times New Roman" w:hAnsi="Times New Roman" w:cs="Times New Roman"/>
              </w:rPr>
              <w:t>hall:</w:t>
            </w:r>
          </w:p>
          <w:p w14:paraId="0938F5B7" w14:textId="0E1298EE" w:rsidR="00495ADE" w:rsidRPr="00AA07B7" w:rsidRDefault="00495ADE" w:rsidP="00FA301E">
            <w:pPr>
              <w:pStyle w:val="Default"/>
              <w:numPr>
                <w:ilvl w:val="0"/>
                <w:numId w:val="2"/>
              </w:numPr>
              <w:spacing w:after="120" w:line="259" w:lineRule="auto"/>
              <w:contextualSpacing/>
              <w:jc w:val="both"/>
              <w:rPr>
                <w:rFonts w:ascii="Times New Roman" w:hAnsi="Times New Roman" w:cs="Times New Roman"/>
                <w:color w:val="auto"/>
                <w:sz w:val="22"/>
                <w:szCs w:val="22"/>
              </w:rPr>
            </w:pPr>
            <w:r w:rsidRPr="000941D1">
              <w:rPr>
                <w:rFonts w:ascii="Times New Roman" w:hAnsi="Times New Roman" w:cs="Times New Roman"/>
                <w:color w:val="auto"/>
                <w:sz w:val="22"/>
                <w:szCs w:val="22"/>
              </w:rPr>
              <w:t xml:space="preserve">be responsible for </w:t>
            </w:r>
            <w:r w:rsidRPr="00AA07B7">
              <w:rPr>
                <w:rFonts w:ascii="Times New Roman" w:hAnsi="Times New Roman" w:cs="Times New Roman"/>
                <w:color w:val="auto"/>
                <w:sz w:val="22"/>
                <w:szCs w:val="22"/>
              </w:rPr>
              <w:t xml:space="preserve">carrying out the Action vis-a-vis the Sub-grantor, taking all necessary and reasonable measures to ensure that the Action is carried out in accordance with the Sub-Grant Description in Annex I, the terms and conditions of this Contract, the relevant in-force legislation and the Guidelines for Applicants. To this purpose, the </w:t>
            </w:r>
            <w:r w:rsidRPr="000941D1">
              <w:rPr>
                <w:rFonts w:ascii="Times New Roman" w:hAnsi="Times New Roman" w:cs="Times New Roman"/>
                <w:color w:val="auto"/>
                <w:sz w:val="22"/>
                <w:szCs w:val="22"/>
              </w:rPr>
              <w:t xml:space="preserve">Sub-Grantee </w:t>
            </w:r>
            <w:r w:rsidRPr="00AA07B7">
              <w:rPr>
                <w:rFonts w:ascii="Times New Roman" w:hAnsi="Times New Roman" w:cs="Times New Roman"/>
                <w:color w:val="auto"/>
                <w:sz w:val="22"/>
                <w:szCs w:val="22"/>
              </w:rPr>
              <w:t>shall implement the Action with the requisite care, efficiency, transparency, and diligence, in line with the principle of sound financial management and with the best practices in the field.</w:t>
            </w:r>
          </w:p>
        </w:tc>
      </w:tr>
      <w:tr w:rsidR="00495ADE" w:rsidRPr="00717728" w14:paraId="37F3AE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B3A56FE" w14:textId="7F8A0D3A" w:rsidR="00495ADE" w:rsidRPr="00717728" w:rsidRDefault="00495ADE" w:rsidP="00FE7866">
            <w:pPr>
              <w:pStyle w:val="Default"/>
              <w:spacing w:after="120" w:line="259" w:lineRule="auto"/>
              <w:ind w:left="360"/>
              <w:contextualSpacing/>
              <w:jc w:val="both"/>
              <w:rPr>
                <w:rFonts w:ascii="Times New Roman" w:hAnsi="Times New Roman" w:cs="Times New Roman"/>
                <w:color w:val="auto"/>
                <w:sz w:val="22"/>
                <w:szCs w:val="22"/>
              </w:rPr>
            </w:pPr>
            <w:r>
              <w:rPr>
                <w:rFonts w:ascii="Times New Roman" w:hAnsi="Times New Roman" w:cs="Times New Roman"/>
                <w:sz w:val="22"/>
                <w:szCs w:val="22"/>
              </w:rPr>
              <w:t xml:space="preserve">Բ. </w:t>
            </w:r>
            <w:r w:rsidRPr="00717728">
              <w:rPr>
                <w:rFonts w:ascii="Times New Roman" w:hAnsi="Times New Roman" w:cs="Times New Roman"/>
                <w:sz w:val="22"/>
                <w:szCs w:val="22"/>
              </w:rPr>
              <w:t>կատարել Պայմանագրից բխող ցանկացած պարտավորություն,</w:t>
            </w:r>
          </w:p>
        </w:tc>
        <w:tc>
          <w:tcPr>
            <w:tcW w:w="333" w:type="dxa"/>
            <w:gridSpan w:val="2"/>
            <w:tcBorders>
              <w:top w:val="nil"/>
              <w:left w:val="nil"/>
              <w:bottom w:val="nil"/>
              <w:right w:val="nil"/>
            </w:tcBorders>
          </w:tcPr>
          <w:p w14:paraId="2A31F7F8" w14:textId="77777777" w:rsidR="00495ADE" w:rsidRPr="00717728" w:rsidRDefault="00495ADE" w:rsidP="00FA301E">
            <w:pPr>
              <w:pStyle w:val="Default"/>
              <w:numPr>
                <w:ilvl w:val="0"/>
                <w:numId w:val="2"/>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41C9FB18" w14:textId="6AD76136" w:rsidR="00495ADE" w:rsidRPr="00717728" w:rsidRDefault="00495ADE" w:rsidP="00FA301E">
            <w:pPr>
              <w:pStyle w:val="Default"/>
              <w:numPr>
                <w:ilvl w:val="0"/>
                <w:numId w:val="85"/>
              </w:numPr>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sz w:val="22"/>
                <w:szCs w:val="22"/>
              </w:rPr>
              <w:t xml:space="preserve">be responsible for complying with any obligation incumbent on </w:t>
            </w:r>
            <w:r w:rsidR="00CF5585">
              <w:rPr>
                <w:rFonts w:ascii="Times New Roman" w:hAnsi="Times New Roman" w:cs="Times New Roman"/>
                <w:sz w:val="22"/>
                <w:szCs w:val="22"/>
              </w:rPr>
              <w:t>it</w:t>
            </w:r>
            <w:r w:rsidR="00CF5585" w:rsidRPr="00717728">
              <w:rPr>
                <w:rFonts w:ascii="Times New Roman" w:hAnsi="Times New Roman" w:cs="Times New Roman"/>
                <w:sz w:val="22"/>
                <w:szCs w:val="22"/>
              </w:rPr>
              <w:t xml:space="preserve"> </w:t>
            </w:r>
            <w:r w:rsidRPr="00717728">
              <w:rPr>
                <w:rFonts w:ascii="Times New Roman" w:hAnsi="Times New Roman" w:cs="Times New Roman"/>
                <w:sz w:val="22"/>
                <w:szCs w:val="22"/>
              </w:rPr>
              <w:t xml:space="preserve">from this contract; </w:t>
            </w:r>
          </w:p>
          <w:p w14:paraId="78282A82" w14:textId="4BE59676" w:rsidR="00495ADE" w:rsidRPr="00717728" w:rsidRDefault="00495ADE" w:rsidP="00A95022">
            <w:pPr>
              <w:pStyle w:val="ListParagraph"/>
              <w:tabs>
                <w:tab w:val="left" w:pos="6237"/>
              </w:tabs>
              <w:spacing w:before="60" w:after="60" w:line="240" w:lineRule="auto"/>
              <w:ind w:left="312"/>
              <w:jc w:val="both"/>
              <w:rPr>
                <w:rFonts w:ascii="Times New Roman" w:hAnsi="Times New Roman" w:cs="Times New Roman"/>
                <w:b/>
                <w:bCs/>
              </w:rPr>
            </w:pPr>
          </w:p>
        </w:tc>
      </w:tr>
      <w:tr w:rsidR="00495ADE" w:rsidRPr="00717728" w14:paraId="417FC1A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3785C36" w14:textId="7D76AA2A" w:rsidR="00495ADE" w:rsidRPr="00717728" w:rsidRDefault="00495ADE" w:rsidP="00FE7866">
            <w:pPr>
              <w:pStyle w:val="Default"/>
              <w:spacing w:after="120" w:line="259" w:lineRule="auto"/>
              <w:ind w:left="360"/>
              <w:contextualSpacing/>
              <w:jc w:val="both"/>
              <w:rPr>
                <w:rFonts w:ascii="Times New Roman" w:hAnsi="Times New Roman" w:cs="Times New Roman"/>
                <w:b/>
              </w:rPr>
            </w:pPr>
            <w:r>
              <w:rPr>
                <w:rFonts w:ascii="Times New Roman" w:hAnsi="Times New Roman" w:cs="Times New Roman"/>
                <w:sz w:val="22"/>
                <w:szCs w:val="22"/>
              </w:rPr>
              <w:t xml:space="preserve">Գ. </w:t>
            </w:r>
            <w:r w:rsidRPr="00717728">
              <w:rPr>
                <w:rFonts w:ascii="Times New Roman" w:hAnsi="Times New Roman" w:cs="Times New Roman"/>
                <w:sz w:val="22"/>
                <w:szCs w:val="22"/>
              </w:rPr>
              <w:t>17</w:t>
            </w:r>
            <w:r w:rsidRPr="00717728">
              <w:rPr>
                <w:rFonts w:ascii="Times New Roman" w:hAnsi="Times New Roman" w:cs="Times New Roman"/>
                <w:color w:val="auto"/>
                <w:sz w:val="22"/>
                <w:szCs w:val="22"/>
              </w:rPr>
              <w:t>-րդ հոդվածով նախատեսված աուդիտների և ստուգումների կամ մշտադիտարկման</w:t>
            </w:r>
            <w:r>
              <w:rPr>
                <w:rFonts w:ascii="Times New Roman" w:hAnsi="Times New Roman" w:cs="Times New Roman"/>
                <w:color w:val="auto"/>
                <w:sz w:val="22"/>
                <w:szCs w:val="22"/>
              </w:rPr>
              <w:t xml:space="preserve"> </w:t>
            </w:r>
            <w:r w:rsidRPr="00717728">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717728">
              <w:rPr>
                <w:rFonts w:ascii="Times New Roman" w:hAnsi="Times New Roman" w:cs="Times New Roman"/>
                <w:color w:val="auto"/>
                <w:sz w:val="22"/>
                <w:szCs w:val="22"/>
              </w:rPr>
              <w:t>գնահատ</w:t>
            </w:r>
            <w:r>
              <w:rPr>
                <w:rFonts w:ascii="Times New Roman" w:hAnsi="Times New Roman" w:cs="Times New Roman"/>
                <w:color w:val="auto"/>
                <w:sz w:val="22"/>
                <w:szCs w:val="22"/>
              </w:rPr>
              <w:softHyphen/>
            </w:r>
            <w:r w:rsidRPr="00717728">
              <w:rPr>
                <w:rFonts w:ascii="Times New Roman" w:hAnsi="Times New Roman" w:cs="Times New Roman"/>
                <w:color w:val="auto"/>
                <w:sz w:val="22"/>
                <w:szCs w:val="22"/>
              </w:rPr>
              <w:t xml:space="preserve">ման դեպքում տրամադրել անհրաժեշտ բոլոր փաստաթղթերը, ի թիվս այլնի՝ </w:t>
            </w:r>
            <w:r>
              <w:rPr>
                <w:rFonts w:ascii="Times New Roman" w:hAnsi="Times New Roman" w:cs="Times New Roman"/>
                <w:color w:val="auto"/>
                <w:sz w:val="22"/>
                <w:szCs w:val="22"/>
              </w:rPr>
              <w:t>քաղվածքներ</w:t>
            </w:r>
            <w:r w:rsidRPr="00717728">
              <w:rPr>
                <w:rFonts w:ascii="Times New Roman" w:hAnsi="Times New Roman" w:cs="Times New Roman"/>
                <w:color w:val="auto"/>
                <w:sz w:val="22"/>
                <w:szCs w:val="22"/>
              </w:rPr>
              <w:t xml:space="preserve"> հաշիվներից, համապատասխան ուղեկցող փաստաթղթերի պատճեններ և Գործողության իրականացման նպատակով կնքված ցանկացած </w:t>
            </w:r>
            <w:r w:rsidRPr="00717728">
              <w:rPr>
                <w:rFonts w:ascii="Times New Roman" w:hAnsi="Times New Roman" w:cs="Times New Roman"/>
                <w:color w:val="auto"/>
                <w:sz w:val="22"/>
                <w:szCs w:val="22"/>
              </w:rPr>
              <w:lastRenderedPageBreak/>
              <w:t xml:space="preserve">պայմանագրի ստորագրված պատճեններ՝ համաձայն 17.4-րդ հոդվածի, կամ </w:t>
            </w:r>
            <w:r w:rsidRPr="001019CC">
              <w:rPr>
                <w:rFonts w:ascii="Times New Roman" w:hAnsi="Times New Roman" w:cs="Times New Roman"/>
                <w:color w:val="auto"/>
                <w:sz w:val="22"/>
                <w:szCs w:val="22"/>
              </w:rPr>
              <w:t>հասանելի</w:t>
            </w:r>
            <w:r w:rsidRPr="00717728">
              <w:rPr>
                <w:rFonts w:ascii="Times New Roman" w:hAnsi="Times New Roman" w:cs="Times New Roman"/>
                <w:color w:val="auto"/>
                <w:sz w:val="22"/>
                <w:szCs w:val="22"/>
              </w:rPr>
              <w:t xml:space="preserve"> դարձնել նույն փաստաթղթերը:</w:t>
            </w:r>
          </w:p>
        </w:tc>
        <w:tc>
          <w:tcPr>
            <w:tcW w:w="333" w:type="dxa"/>
            <w:gridSpan w:val="2"/>
            <w:tcBorders>
              <w:top w:val="nil"/>
              <w:left w:val="nil"/>
              <w:bottom w:val="nil"/>
              <w:right w:val="nil"/>
            </w:tcBorders>
          </w:tcPr>
          <w:p w14:paraId="36C5641A" w14:textId="77777777" w:rsidR="00495ADE" w:rsidRPr="00717728" w:rsidRDefault="00495ADE" w:rsidP="00FA301E">
            <w:pPr>
              <w:pStyle w:val="Default"/>
              <w:numPr>
                <w:ilvl w:val="0"/>
                <w:numId w:val="85"/>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69D054EF" w14:textId="5A02C17B" w:rsidR="00495ADE" w:rsidRPr="00717728" w:rsidRDefault="00495ADE" w:rsidP="00FA301E">
            <w:pPr>
              <w:pStyle w:val="Default"/>
              <w:numPr>
                <w:ilvl w:val="0"/>
                <w:numId w:val="86"/>
              </w:numPr>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in the event of audits and checks, as described in Article 17, or monitoring / evaluations - provide all the necessary documents, including but not limited to: excerpts from accounts, copies of relevant supporting documents </w:t>
            </w:r>
            <w:r w:rsidRPr="00717728">
              <w:rPr>
                <w:rFonts w:ascii="Times New Roman" w:hAnsi="Times New Roman" w:cs="Times New Roman"/>
                <w:color w:val="auto"/>
                <w:sz w:val="22"/>
                <w:szCs w:val="22"/>
              </w:rPr>
              <w:lastRenderedPageBreak/>
              <w:t>and signed copies of any contract concluded to implement the Action according to Article 17.4, or access to the same documents.</w:t>
            </w:r>
          </w:p>
          <w:p w14:paraId="3B763944" w14:textId="77777777" w:rsidR="00495ADE" w:rsidRPr="00717728" w:rsidRDefault="00495ADE" w:rsidP="0052546C">
            <w:pPr>
              <w:tabs>
                <w:tab w:val="left" w:pos="6237"/>
              </w:tabs>
              <w:spacing w:before="60" w:after="60" w:line="240" w:lineRule="auto"/>
              <w:rPr>
                <w:rFonts w:ascii="Times New Roman" w:hAnsi="Times New Roman" w:cs="Times New Roman"/>
                <w:b/>
              </w:rPr>
            </w:pPr>
          </w:p>
        </w:tc>
      </w:tr>
      <w:tr w:rsidR="00495ADE" w:rsidRPr="00717728" w14:paraId="15484A7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58E9B0B6" w14:textId="39F4831D" w:rsidR="00495ADE" w:rsidRPr="00717728" w:rsidRDefault="00495ADE" w:rsidP="009727A6">
            <w:pPr>
              <w:tabs>
                <w:tab w:val="left" w:pos="6237"/>
              </w:tabs>
              <w:autoSpaceDE w:val="0"/>
              <w:autoSpaceDN w:val="0"/>
              <w:adjustRightInd w:val="0"/>
              <w:spacing w:before="60" w:after="60" w:line="240" w:lineRule="auto"/>
              <w:jc w:val="both"/>
              <w:rPr>
                <w:rFonts w:ascii="Times New Roman" w:hAnsi="Times New Roman" w:cs="Times New Roman"/>
              </w:rPr>
            </w:pPr>
          </w:p>
        </w:tc>
        <w:tc>
          <w:tcPr>
            <w:tcW w:w="333" w:type="dxa"/>
            <w:gridSpan w:val="2"/>
            <w:tcBorders>
              <w:top w:val="nil"/>
              <w:left w:val="nil"/>
              <w:bottom w:val="nil"/>
              <w:right w:val="nil"/>
            </w:tcBorders>
          </w:tcPr>
          <w:p w14:paraId="4085552A" w14:textId="77777777" w:rsidR="00495ADE" w:rsidRPr="00717728" w:rsidRDefault="00495ADE" w:rsidP="00FE7866">
            <w:pPr>
              <w:tabs>
                <w:tab w:val="left" w:pos="6237"/>
              </w:tabs>
              <w:spacing w:before="60" w:after="60" w:line="240" w:lineRule="auto"/>
              <w:jc w:val="both"/>
              <w:rPr>
                <w:rFonts w:ascii="Times New Roman" w:hAnsi="Times New Roman" w:cs="Times New Roman"/>
                <w:bCs/>
                <w:highlight w:val="lightGray"/>
              </w:rPr>
            </w:pPr>
          </w:p>
        </w:tc>
        <w:tc>
          <w:tcPr>
            <w:tcW w:w="3895" w:type="dxa"/>
            <w:tcBorders>
              <w:top w:val="nil"/>
              <w:left w:val="nil"/>
              <w:bottom w:val="nil"/>
              <w:right w:val="nil"/>
            </w:tcBorders>
          </w:tcPr>
          <w:p w14:paraId="182D19ED" w14:textId="4011C583" w:rsidR="00495ADE" w:rsidRPr="00717728" w:rsidRDefault="00495ADE" w:rsidP="00FE7866">
            <w:pPr>
              <w:tabs>
                <w:tab w:val="left" w:pos="6237"/>
              </w:tabs>
              <w:spacing w:before="60" w:after="60" w:line="240" w:lineRule="auto"/>
              <w:jc w:val="both"/>
              <w:rPr>
                <w:rFonts w:ascii="Times New Roman" w:hAnsi="Times New Roman" w:cs="Times New Roman"/>
                <w:bCs/>
              </w:rPr>
            </w:pPr>
          </w:p>
        </w:tc>
      </w:tr>
      <w:tr w:rsidR="00495ADE" w:rsidRPr="00717728" w14:paraId="4BB7DF1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5B10A4A9" w14:textId="2D7721D1" w:rsidR="00495ADE" w:rsidRPr="00AA07B7" w:rsidRDefault="00495ADE" w:rsidP="009727A6">
            <w:pPr>
              <w:tabs>
                <w:tab w:val="left" w:pos="6237"/>
              </w:tabs>
              <w:autoSpaceDE w:val="0"/>
              <w:autoSpaceDN w:val="0"/>
              <w:adjustRightInd w:val="0"/>
              <w:spacing w:before="60" w:after="60" w:line="240" w:lineRule="auto"/>
              <w:jc w:val="both"/>
              <w:rPr>
                <w:rFonts w:ascii="Times New Roman" w:hAnsi="Times New Roman" w:cs="Times New Roman"/>
              </w:rPr>
            </w:pPr>
            <w:r w:rsidRPr="000941D1">
              <w:rPr>
                <w:rFonts w:ascii="Times New Roman" w:hAnsi="Times New Roman" w:cs="Times New Roman"/>
                <w:b/>
                <w:bCs/>
              </w:rPr>
              <w:t>Ենթադրամաշնորհառուի պարտավորությունները</w:t>
            </w:r>
          </w:p>
        </w:tc>
        <w:tc>
          <w:tcPr>
            <w:tcW w:w="333" w:type="dxa"/>
            <w:gridSpan w:val="2"/>
            <w:tcBorders>
              <w:top w:val="nil"/>
              <w:left w:val="nil"/>
              <w:bottom w:val="nil"/>
              <w:right w:val="nil"/>
            </w:tcBorders>
          </w:tcPr>
          <w:p w14:paraId="49251F16" w14:textId="77777777" w:rsidR="00495ADE" w:rsidRPr="000941D1" w:rsidRDefault="00495ADE" w:rsidP="00D60DAC">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2889DB89" w14:textId="4DEDD3D5" w:rsidR="00495ADE" w:rsidRPr="00AA07B7" w:rsidRDefault="00495ADE" w:rsidP="00D60DAC">
            <w:pPr>
              <w:tabs>
                <w:tab w:val="left" w:pos="6237"/>
              </w:tabs>
              <w:spacing w:before="60" w:after="60" w:line="240" w:lineRule="auto"/>
              <w:jc w:val="both"/>
              <w:rPr>
                <w:rFonts w:ascii="Times New Roman" w:hAnsi="Times New Roman" w:cs="Times New Roman"/>
                <w:bCs/>
              </w:rPr>
            </w:pPr>
            <w:r w:rsidRPr="000941D1">
              <w:rPr>
                <w:rFonts w:ascii="Times New Roman" w:hAnsi="Times New Roman" w:cs="Times New Roman"/>
                <w:b/>
                <w:bCs/>
              </w:rPr>
              <w:t>Obligation</w:t>
            </w:r>
            <w:r w:rsidR="00120B50" w:rsidRPr="000941D1">
              <w:rPr>
                <w:rFonts w:ascii="Times New Roman" w:hAnsi="Times New Roman" w:cs="Times New Roman"/>
                <w:b/>
                <w:bCs/>
              </w:rPr>
              <w:t>s</w:t>
            </w:r>
            <w:r w:rsidRPr="000941D1">
              <w:rPr>
                <w:rFonts w:ascii="Times New Roman" w:hAnsi="Times New Roman" w:cs="Times New Roman"/>
                <w:b/>
                <w:bCs/>
              </w:rPr>
              <w:t xml:space="preserve"> of the Sub-Grantee</w:t>
            </w:r>
            <w:r w:rsidRPr="000941D1">
              <w:rPr>
                <w:rFonts w:ascii="Times New Roman" w:hAnsi="Times New Roman" w:cs="Times New Roman"/>
                <w:b/>
              </w:rPr>
              <w:t xml:space="preserve"> </w:t>
            </w:r>
          </w:p>
        </w:tc>
      </w:tr>
      <w:tr w:rsidR="00495ADE" w:rsidRPr="00717728" w14:paraId="0CA3FEF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6E50426" w14:textId="60A2D3CF" w:rsidR="00495ADE" w:rsidRPr="00AA07B7" w:rsidRDefault="00495ADE" w:rsidP="009727A6">
            <w:pPr>
              <w:tabs>
                <w:tab w:val="left" w:pos="6237"/>
              </w:tabs>
              <w:autoSpaceDE w:val="0"/>
              <w:autoSpaceDN w:val="0"/>
              <w:adjustRightInd w:val="0"/>
              <w:spacing w:before="60" w:after="60" w:line="240" w:lineRule="auto"/>
              <w:jc w:val="both"/>
              <w:rPr>
                <w:rFonts w:ascii="Times New Roman" w:hAnsi="Times New Roman" w:cs="Times New Roman"/>
              </w:rPr>
            </w:pPr>
            <w:bookmarkStart w:id="12" w:name="_Hlk86873073"/>
            <w:r w:rsidRPr="000941D1">
              <w:rPr>
                <w:rFonts w:ascii="Times New Roman" w:hAnsi="Times New Roman" w:cs="Times New Roman"/>
              </w:rPr>
              <w:t>6.2</w:t>
            </w:r>
            <w:r w:rsidR="00232637" w:rsidRPr="000941D1">
              <w:rPr>
                <w:rFonts w:ascii="Times New Roman" w:hAnsi="Times New Roman" w:cs="Times New Roman"/>
              </w:rPr>
              <w:t xml:space="preserve"> </w:t>
            </w:r>
            <w:r w:rsidRPr="00AA07B7">
              <w:rPr>
                <w:rFonts w:ascii="Times New Roman" w:hAnsi="Times New Roman" w:cs="Times New Roman"/>
              </w:rPr>
              <w:t>Ենթադրամաշնորհառուն պարտավոր է.</w:t>
            </w:r>
          </w:p>
        </w:tc>
        <w:tc>
          <w:tcPr>
            <w:tcW w:w="333" w:type="dxa"/>
            <w:gridSpan w:val="2"/>
            <w:tcBorders>
              <w:top w:val="nil"/>
              <w:left w:val="nil"/>
              <w:bottom w:val="nil"/>
              <w:right w:val="nil"/>
            </w:tcBorders>
          </w:tcPr>
          <w:p w14:paraId="4BAA8F65" w14:textId="77777777" w:rsidR="00495ADE" w:rsidRPr="000941D1" w:rsidRDefault="00495ADE" w:rsidP="00A95022">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ADD08B5" w14:textId="0CCDC9CF" w:rsidR="00495ADE" w:rsidRPr="00AA07B7" w:rsidRDefault="00495ADE" w:rsidP="00A95022">
            <w:pPr>
              <w:tabs>
                <w:tab w:val="left" w:pos="6237"/>
              </w:tabs>
              <w:spacing w:before="60" w:after="60" w:line="240" w:lineRule="auto"/>
              <w:jc w:val="both"/>
              <w:rPr>
                <w:rFonts w:ascii="Times New Roman" w:hAnsi="Times New Roman" w:cs="Times New Roman"/>
                <w:bCs/>
              </w:rPr>
            </w:pPr>
            <w:r w:rsidRPr="000941D1">
              <w:rPr>
                <w:rFonts w:ascii="Times New Roman" w:hAnsi="Times New Roman" w:cs="Times New Roman"/>
              </w:rPr>
              <w:t>6.2</w:t>
            </w:r>
            <w:r w:rsidR="00CF5585" w:rsidRPr="000941D1">
              <w:rPr>
                <w:rFonts w:ascii="Times New Roman" w:hAnsi="Times New Roman" w:cs="Times New Roman"/>
                <w:b/>
              </w:rPr>
              <w:t xml:space="preserve"> </w:t>
            </w:r>
            <w:r w:rsidRPr="00AA07B7">
              <w:rPr>
                <w:rFonts w:ascii="Times New Roman" w:hAnsi="Times New Roman" w:cs="Times New Roman"/>
              </w:rPr>
              <w:t>The Sub-Grantee shall:</w:t>
            </w:r>
          </w:p>
        </w:tc>
      </w:tr>
      <w:tr w:rsidR="00495ADE" w:rsidRPr="00717728" w14:paraId="4CE9DC4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B56D454" w14:textId="30F538BA" w:rsidR="00495ADE" w:rsidRPr="000941D1" w:rsidRDefault="00495ADE" w:rsidP="00335184">
            <w:pPr>
              <w:pStyle w:val="Default"/>
              <w:spacing w:after="120" w:line="259" w:lineRule="auto"/>
              <w:ind w:left="720"/>
              <w:contextualSpacing/>
              <w:jc w:val="both"/>
              <w:rPr>
                <w:rFonts w:ascii="Times New Roman" w:hAnsi="Times New Roman" w:cs="Times New Roman"/>
                <w:b/>
                <w:color w:val="auto"/>
                <w:lang w:val="hy-AM"/>
              </w:rPr>
            </w:pPr>
            <w:r w:rsidRPr="000941D1">
              <w:rPr>
                <w:rFonts w:ascii="Times New Roman" w:hAnsi="Times New Roman" w:cs="Times New Roman"/>
                <w:b/>
                <w:color w:val="auto"/>
                <w:sz w:val="22"/>
                <w:szCs w:val="22"/>
              </w:rPr>
              <w:t>Ա. հետևել</w:t>
            </w:r>
            <w:r w:rsidRPr="000941D1">
              <w:rPr>
                <w:rFonts w:ascii="Times New Roman" w:hAnsi="Times New Roman" w:cs="Times New Roman"/>
                <w:color w:val="auto"/>
                <w:sz w:val="22"/>
                <w:szCs w:val="22"/>
              </w:rPr>
              <w:t xml:space="preserve">, որ Գործողությունը իրականացվի Պայմանագրով սահմանված կարգով </w:t>
            </w:r>
          </w:p>
        </w:tc>
        <w:tc>
          <w:tcPr>
            <w:tcW w:w="333" w:type="dxa"/>
            <w:gridSpan w:val="2"/>
            <w:tcBorders>
              <w:top w:val="nil"/>
              <w:left w:val="nil"/>
              <w:bottom w:val="nil"/>
              <w:right w:val="nil"/>
            </w:tcBorders>
          </w:tcPr>
          <w:p w14:paraId="24899F8A" w14:textId="77777777" w:rsidR="00495ADE" w:rsidRPr="000941D1" w:rsidRDefault="00495ADE" w:rsidP="00FA301E">
            <w:pPr>
              <w:pStyle w:val="Default"/>
              <w:numPr>
                <w:ilvl w:val="0"/>
                <w:numId w:val="12"/>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7243D3DF" w14:textId="0F8E8BD0" w:rsidR="00495ADE" w:rsidRPr="000941D1" w:rsidRDefault="00495ADE" w:rsidP="00FA301E">
            <w:pPr>
              <w:pStyle w:val="Default"/>
              <w:numPr>
                <w:ilvl w:val="0"/>
                <w:numId w:val="87"/>
              </w:numPr>
              <w:spacing w:after="120" w:line="259" w:lineRule="auto"/>
              <w:contextualSpacing/>
              <w:jc w:val="both"/>
              <w:rPr>
                <w:rFonts w:ascii="Times New Roman" w:hAnsi="Times New Roman" w:cs="Times New Roman"/>
                <w:color w:val="auto"/>
                <w:sz w:val="22"/>
                <w:szCs w:val="22"/>
              </w:rPr>
            </w:pPr>
            <w:r w:rsidRPr="000941D1">
              <w:rPr>
                <w:rFonts w:ascii="Times New Roman" w:hAnsi="Times New Roman" w:cs="Times New Roman"/>
                <w:color w:val="auto"/>
                <w:sz w:val="22"/>
                <w:szCs w:val="22"/>
              </w:rPr>
              <w:t xml:space="preserve">monitor that the action is implemented in accordance with this contract; </w:t>
            </w:r>
          </w:p>
          <w:p w14:paraId="7D1C976B" w14:textId="6600350F" w:rsidR="00495ADE" w:rsidRPr="000941D1" w:rsidRDefault="00495ADE" w:rsidP="00A95022">
            <w:pPr>
              <w:tabs>
                <w:tab w:val="left" w:pos="6237"/>
              </w:tabs>
              <w:spacing w:before="60" w:after="60" w:line="240" w:lineRule="auto"/>
              <w:jc w:val="both"/>
              <w:rPr>
                <w:rFonts w:ascii="Times New Roman" w:hAnsi="Times New Roman" w:cs="Times New Roman"/>
                <w:b/>
              </w:rPr>
            </w:pPr>
          </w:p>
        </w:tc>
      </w:tr>
      <w:bookmarkEnd w:id="12"/>
      <w:tr w:rsidR="00495ADE" w:rsidRPr="00717728" w14:paraId="0BCA46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7157A528" w14:textId="5FF8AE6B" w:rsidR="00495ADE" w:rsidRPr="000941D1" w:rsidRDefault="00495ADE" w:rsidP="00335184">
            <w:pPr>
              <w:pStyle w:val="Default"/>
              <w:spacing w:after="120" w:line="259" w:lineRule="auto"/>
              <w:ind w:left="720"/>
              <w:contextualSpacing/>
              <w:jc w:val="both"/>
              <w:rPr>
                <w:rFonts w:ascii="Times New Roman" w:hAnsi="Times New Roman" w:cs="Times New Roman"/>
                <w:color w:val="auto"/>
                <w:sz w:val="22"/>
                <w:szCs w:val="22"/>
              </w:rPr>
            </w:pPr>
          </w:p>
        </w:tc>
        <w:tc>
          <w:tcPr>
            <w:tcW w:w="333" w:type="dxa"/>
            <w:gridSpan w:val="2"/>
            <w:tcBorders>
              <w:top w:val="nil"/>
              <w:left w:val="nil"/>
              <w:bottom w:val="nil"/>
              <w:right w:val="nil"/>
            </w:tcBorders>
          </w:tcPr>
          <w:p w14:paraId="5BB885AE" w14:textId="77777777" w:rsidR="00495ADE" w:rsidRPr="000941D1" w:rsidRDefault="00495ADE" w:rsidP="00FA301E">
            <w:pPr>
              <w:pStyle w:val="Default"/>
              <w:numPr>
                <w:ilvl w:val="0"/>
                <w:numId w:val="87"/>
              </w:numPr>
              <w:spacing w:after="120" w:line="259" w:lineRule="auto"/>
              <w:contextualSpacing/>
              <w:jc w:val="both"/>
              <w:rPr>
                <w:rFonts w:ascii="Times New Roman" w:hAnsi="Times New Roman" w:cs="Times New Roman"/>
                <w:b/>
                <w:color w:val="auto"/>
                <w:sz w:val="22"/>
                <w:szCs w:val="22"/>
              </w:rPr>
            </w:pPr>
          </w:p>
        </w:tc>
        <w:tc>
          <w:tcPr>
            <w:tcW w:w="3895" w:type="dxa"/>
            <w:tcBorders>
              <w:top w:val="nil"/>
              <w:left w:val="nil"/>
              <w:bottom w:val="nil"/>
              <w:right w:val="nil"/>
            </w:tcBorders>
          </w:tcPr>
          <w:p w14:paraId="4A67D103" w14:textId="6038C87B" w:rsidR="00495ADE" w:rsidRPr="000941D1" w:rsidRDefault="00495ADE" w:rsidP="000941D1">
            <w:pPr>
              <w:pStyle w:val="Default"/>
              <w:spacing w:after="120" w:line="259" w:lineRule="auto"/>
              <w:ind w:left="720"/>
              <w:contextualSpacing/>
              <w:jc w:val="both"/>
              <w:rPr>
                <w:rFonts w:ascii="Times New Roman" w:hAnsi="Times New Roman" w:cs="Times New Roman"/>
                <w:bCs/>
                <w:color w:val="auto"/>
              </w:rPr>
            </w:pPr>
          </w:p>
        </w:tc>
      </w:tr>
      <w:tr w:rsidR="00495ADE" w:rsidRPr="00717728" w14:paraId="4D8DBE9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7F8AC1D9" w14:textId="7D6FF803" w:rsidR="00495ADE" w:rsidRPr="000941D1" w:rsidRDefault="00800301" w:rsidP="00335184">
            <w:pPr>
              <w:pStyle w:val="Default"/>
              <w:spacing w:after="120" w:line="259" w:lineRule="auto"/>
              <w:ind w:left="720"/>
              <w:contextualSpacing/>
              <w:jc w:val="both"/>
              <w:rPr>
                <w:rFonts w:ascii="Times New Roman" w:hAnsi="Times New Roman" w:cs="Times New Roman"/>
                <w:color w:val="auto"/>
              </w:rPr>
            </w:pPr>
            <w:r w:rsidRPr="000941D1">
              <w:rPr>
                <w:rFonts w:ascii="Times New Roman" w:hAnsi="Times New Roman" w:cs="Times New Roman"/>
                <w:b/>
                <w:color w:val="auto"/>
                <w:sz w:val="22"/>
                <w:szCs w:val="22"/>
                <w:lang w:val="hy-AM"/>
              </w:rPr>
              <w:t>Բ</w:t>
            </w:r>
            <w:r w:rsidR="00495ADE" w:rsidRPr="000941D1">
              <w:rPr>
                <w:rFonts w:ascii="Times New Roman" w:hAnsi="Times New Roman" w:cs="Times New Roman"/>
                <w:b/>
                <w:color w:val="auto"/>
                <w:sz w:val="22"/>
                <w:szCs w:val="22"/>
              </w:rPr>
              <w:t>. տրամադրել</w:t>
            </w:r>
            <w:r w:rsidR="00495ADE" w:rsidRPr="000941D1">
              <w:rPr>
                <w:rFonts w:ascii="Times New Roman" w:hAnsi="Times New Roman" w:cs="Times New Roman"/>
                <w:color w:val="auto"/>
                <w:sz w:val="22"/>
                <w:szCs w:val="22"/>
              </w:rPr>
              <w:t xml:space="preserve">  Ենթադրամաշնորհատուի կողմից Պայմանագրով պահանջվող բոլոր փաստաթղթերը և տեղեկությունները: Սրանք ներառում են Պատմողական և Ֆինանսական հաշվետվությունները՝ ըստ Պայամանագրին կցված ձևանմուշների, ինչպես նաև այլ պարբերական զեկույցները, որը Ենթադրամաշնորհատուն կպահանջի Գործողության իրականացման ընթացքում,  </w:t>
            </w:r>
          </w:p>
        </w:tc>
        <w:tc>
          <w:tcPr>
            <w:tcW w:w="333" w:type="dxa"/>
            <w:gridSpan w:val="2"/>
            <w:tcBorders>
              <w:top w:val="nil"/>
              <w:left w:val="nil"/>
              <w:bottom w:val="nil"/>
              <w:right w:val="nil"/>
            </w:tcBorders>
          </w:tcPr>
          <w:p w14:paraId="3A0A7808" w14:textId="77777777" w:rsidR="00495ADE" w:rsidRPr="000941D1" w:rsidRDefault="00495ADE" w:rsidP="00FA301E">
            <w:pPr>
              <w:pStyle w:val="Default"/>
              <w:numPr>
                <w:ilvl w:val="0"/>
                <w:numId w:val="88"/>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093B9347" w14:textId="4B8A896B" w:rsidR="00495ADE" w:rsidRPr="000941D1" w:rsidRDefault="00495ADE" w:rsidP="00CF5585">
            <w:pPr>
              <w:pStyle w:val="Default"/>
              <w:numPr>
                <w:ilvl w:val="0"/>
                <w:numId w:val="95"/>
              </w:numPr>
              <w:spacing w:after="120" w:line="259" w:lineRule="auto"/>
              <w:contextualSpacing/>
              <w:jc w:val="both"/>
              <w:rPr>
                <w:rFonts w:ascii="Times New Roman" w:hAnsi="Times New Roman" w:cs="Times New Roman"/>
                <w:bCs/>
                <w:color w:val="auto"/>
              </w:rPr>
            </w:pPr>
            <w:r w:rsidRPr="000941D1">
              <w:rPr>
                <w:rFonts w:ascii="Times New Roman" w:hAnsi="Times New Roman" w:cs="Times New Roman"/>
                <w:color w:val="auto"/>
                <w:sz w:val="22"/>
                <w:szCs w:val="22"/>
              </w:rPr>
              <w:t>supply all documents and information that the Sub-grantor will require under this Contract. This includes the narrative and financial final reports, as per templates attached to this Contract, and any other periodic reports that the Sub-grantor will require during implementation</w:t>
            </w:r>
            <w:r w:rsidR="00E11BF5" w:rsidRPr="000941D1">
              <w:rPr>
                <w:rFonts w:ascii="Times New Roman" w:hAnsi="Times New Roman" w:cs="Times New Roman"/>
                <w:color w:val="auto"/>
                <w:sz w:val="22"/>
                <w:szCs w:val="22"/>
              </w:rPr>
              <w:t>;</w:t>
            </w:r>
          </w:p>
        </w:tc>
      </w:tr>
      <w:tr w:rsidR="00495ADE" w:rsidRPr="00717728" w14:paraId="638E594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6DBEE1B" w14:textId="1CC6B14E" w:rsidR="00495ADE" w:rsidRPr="000941D1" w:rsidRDefault="00A915A7" w:rsidP="00D60DAC">
            <w:pPr>
              <w:pStyle w:val="Default"/>
              <w:spacing w:after="120" w:line="259" w:lineRule="auto"/>
              <w:ind w:left="720"/>
              <w:contextualSpacing/>
              <w:jc w:val="both"/>
              <w:rPr>
                <w:rFonts w:ascii="Times New Roman" w:hAnsi="Times New Roman" w:cs="Times New Roman"/>
                <w:color w:val="auto"/>
                <w:lang w:val="hy-AM"/>
              </w:rPr>
            </w:pPr>
            <w:r w:rsidRPr="000941D1">
              <w:rPr>
                <w:rFonts w:ascii="Times New Roman" w:hAnsi="Times New Roman" w:cs="Times New Roman"/>
                <w:b/>
                <w:color w:val="auto"/>
                <w:sz w:val="22"/>
                <w:szCs w:val="22"/>
                <w:lang w:val="hy-AM"/>
              </w:rPr>
              <w:t>Գ․</w:t>
            </w:r>
            <w:r w:rsidR="00495ADE" w:rsidRPr="000941D1">
              <w:rPr>
                <w:rFonts w:ascii="Times New Roman" w:hAnsi="Times New Roman" w:cs="Times New Roman"/>
                <w:b/>
                <w:color w:val="auto"/>
                <w:sz w:val="22"/>
                <w:szCs w:val="22"/>
              </w:rPr>
              <w:t>. ժամանակին</w:t>
            </w:r>
            <w:r w:rsidR="00495ADE" w:rsidRPr="000941D1">
              <w:rPr>
                <w:rFonts w:ascii="Times New Roman" w:hAnsi="Times New Roman" w:cs="Times New Roman"/>
                <w:color w:val="auto"/>
                <w:sz w:val="22"/>
                <w:szCs w:val="22"/>
              </w:rPr>
              <w:t xml:space="preserve"> տեղեկացնել  Ենթադրամաշնորհատուին այնպիսի իրադարձությունների մասին, որոնք կարող են ազդել Գործողության իրականացման վրա կամ հետաձգել այն,</w:t>
            </w:r>
            <w:r w:rsidR="00495ADE" w:rsidRPr="000941D1">
              <w:rPr>
                <w:rFonts w:ascii="Times New Roman" w:hAnsi="Times New Roman" w:cs="Times New Roman"/>
                <w:color w:val="auto"/>
                <w:lang w:val="hy-AM"/>
              </w:rPr>
              <w:t xml:space="preserve">  </w:t>
            </w:r>
          </w:p>
        </w:tc>
        <w:tc>
          <w:tcPr>
            <w:tcW w:w="333" w:type="dxa"/>
            <w:gridSpan w:val="2"/>
            <w:tcBorders>
              <w:top w:val="nil"/>
              <w:left w:val="nil"/>
              <w:bottom w:val="nil"/>
              <w:right w:val="nil"/>
            </w:tcBorders>
          </w:tcPr>
          <w:p w14:paraId="585516A5" w14:textId="77777777" w:rsidR="00495ADE" w:rsidRPr="000941D1" w:rsidRDefault="00495ADE" w:rsidP="000941D1">
            <w:pPr>
              <w:pStyle w:val="Default"/>
              <w:numPr>
                <w:ilvl w:val="0"/>
                <w:numId w:val="95"/>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5E4A4D8F" w14:textId="3EAB9A8E" w:rsidR="00495ADE" w:rsidRPr="000941D1" w:rsidRDefault="00495ADE" w:rsidP="000941D1">
            <w:pPr>
              <w:pStyle w:val="Default"/>
              <w:numPr>
                <w:ilvl w:val="0"/>
                <w:numId w:val="96"/>
              </w:numPr>
              <w:spacing w:after="120" w:line="259" w:lineRule="auto"/>
              <w:contextualSpacing/>
              <w:jc w:val="both"/>
              <w:rPr>
                <w:rFonts w:ascii="Times New Roman" w:hAnsi="Times New Roman" w:cs="Times New Roman"/>
                <w:bCs/>
                <w:color w:val="auto"/>
              </w:rPr>
            </w:pPr>
            <w:r w:rsidRPr="000941D1">
              <w:rPr>
                <w:rFonts w:ascii="Times New Roman" w:hAnsi="Times New Roman" w:cs="Times New Roman"/>
                <w:color w:val="auto"/>
                <w:sz w:val="22"/>
                <w:szCs w:val="22"/>
              </w:rPr>
              <w:t>timely</w:t>
            </w:r>
            <w:r w:rsidRPr="00AA07B7">
              <w:rPr>
                <w:rFonts w:ascii="Times New Roman" w:hAnsi="Times New Roman" w:cs="Times New Roman"/>
                <w:color w:val="auto"/>
                <w:sz w:val="22"/>
                <w:szCs w:val="22"/>
              </w:rPr>
              <w:t xml:space="preserve"> inform the Sub-grantor of any event likely to affect or delay the implementation of the Action;</w:t>
            </w:r>
          </w:p>
        </w:tc>
      </w:tr>
      <w:tr w:rsidR="00495ADE" w:rsidRPr="00717728" w14:paraId="3B65F01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DD62A54" w14:textId="69D709EF" w:rsidR="00495ADE" w:rsidRPr="00717728" w:rsidRDefault="00A915A7" w:rsidP="00D60DAC">
            <w:pPr>
              <w:pStyle w:val="Default"/>
              <w:spacing w:after="120" w:line="259" w:lineRule="auto"/>
              <w:ind w:left="720"/>
              <w:contextualSpacing/>
              <w:jc w:val="both"/>
              <w:rPr>
                <w:rFonts w:ascii="Times New Roman" w:hAnsi="Times New Roman" w:cs="Times New Roman"/>
              </w:rPr>
            </w:pPr>
            <w:r w:rsidRPr="00C6325F">
              <w:rPr>
                <w:rFonts w:ascii="Times New Roman" w:hAnsi="Times New Roman" w:cs="Times New Roman"/>
                <w:b/>
                <w:color w:val="auto"/>
                <w:sz w:val="22"/>
                <w:szCs w:val="22"/>
                <w:lang w:val="hy-AM"/>
              </w:rPr>
              <w:t>Դ․</w:t>
            </w:r>
            <w:r w:rsidR="00495ADE" w:rsidRPr="00C6325F">
              <w:rPr>
                <w:rFonts w:ascii="Times New Roman" w:hAnsi="Times New Roman" w:cs="Times New Roman"/>
                <w:b/>
                <w:color w:val="auto"/>
                <w:sz w:val="22"/>
                <w:szCs w:val="22"/>
              </w:rPr>
              <w:t xml:space="preserve"> </w:t>
            </w:r>
            <w:r w:rsidR="00495ADE" w:rsidRPr="00717728">
              <w:rPr>
                <w:rFonts w:ascii="Times New Roman" w:hAnsi="Times New Roman" w:cs="Times New Roman"/>
                <w:color w:val="auto"/>
                <w:sz w:val="22"/>
                <w:szCs w:val="22"/>
              </w:rPr>
              <w:t xml:space="preserve">ժամանակին տեղեկացնել </w:t>
            </w:r>
            <w:r w:rsidR="00495ADE">
              <w:rPr>
                <w:rFonts w:ascii="Times New Roman" w:hAnsi="Times New Roman" w:cs="Times New Roman"/>
                <w:color w:val="auto"/>
                <w:sz w:val="22"/>
                <w:szCs w:val="22"/>
              </w:rPr>
              <w:t xml:space="preserve"> Ենթադրամաշնորհատ</w:t>
            </w:r>
            <w:r w:rsidR="00495ADE" w:rsidRPr="00717728">
              <w:rPr>
                <w:rFonts w:ascii="Times New Roman" w:hAnsi="Times New Roman" w:cs="Times New Roman"/>
                <w:color w:val="auto"/>
                <w:sz w:val="22"/>
                <w:szCs w:val="22"/>
              </w:rPr>
              <w:t>ուին իրավական, ֆինանսական, տեխնիկական, կազմակերպական կամ սեփականությանն առնչվող իրավիճակի ցանկացած փոփոխության, ինչպես նաև անվան, հասցեի, օրինական ներկայացուցչի կամ համապատասխան ֆինանսական տեղեկատվության փոփոխության մասին,</w:t>
            </w:r>
          </w:p>
        </w:tc>
        <w:tc>
          <w:tcPr>
            <w:tcW w:w="333" w:type="dxa"/>
            <w:gridSpan w:val="2"/>
            <w:tcBorders>
              <w:top w:val="nil"/>
              <w:left w:val="nil"/>
              <w:bottom w:val="nil"/>
              <w:right w:val="nil"/>
            </w:tcBorders>
          </w:tcPr>
          <w:p w14:paraId="251F0FC2" w14:textId="77777777" w:rsidR="00495ADE" w:rsidRPr="00717728" w:rsidRDefault="00495ADE" w:rsidP="000941D1">
            <w:pPr>
              <w:pStyle w:val="Default"/>
              <w:numPr>
                <w:ilvl w:val="0"/>
                <w:numId w:val="96"/>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5C22BAD2" w14:textId="77092314" w:rsidR="00495ADE" w:rsidRPr="00717728" w:rsidRDefault="00495ADE" w:rsidP="000941D1">
            <w:pPr>
              <w:pStyle w:val="Default"/>
              <w:numPr>
                <w:ilvl w:val="0"/>
                <w:numId w:val="97"/>
              </w:numPr>
              <w:spacing w:after="120" w:line="259" w:lineRule="auto"/>
              <w:contextualSpacing/>
              <w:jc w:val="both"/>
              <w:rPr>
                <w:rFonts w:ascii="Times New Roman" w:hAnsi="Times New Roman" w:cs="Times New Roman"/>
                <w:bCs/>
              </w:rPr>
            </w:pPr>
            <w:r w:rsidRPr="00717728">
              <w:rPr>
                <w:rFonts w:ascii="Times New Roman" w:hAnsi="Times New Roman" w:cs="Times New Roman"/>
                <w:sz w:val="22"/>
                <w:szCs w:val="22"/>
              </w:rPr>
              <w:t>timely</w:t>
            </w:r>
            <w:r w:rsidRPr="00717728">
              <w:rPr>
                <w:rFonts w:ascii="Times New Roman" w:hAnsi="Times New Roman" w:cs="Times New Roman"/>
                <w:color w:val="auto"/>
                <w:sz w:val="22"/>
                <w:szCs w:val="22"/>
              </w:rPr>
              <w:t xml:space="preserve"> inform the </w:t>
            </w:r>
            <w:r>
              <w:rPr>
                <w:rFonts w:ascii="Times New Roman" w:hAnsi="Times New Roman" w:cs="Times New Roman"/>
                <w:color w:val="auto"/>
                <w:sz w:val="22"/>
                <w:szCs w:val="22"/>
              </w:rPr>
              <w:t>Sub-grantor</w:t>
            </w:r>
            <w:r w:rsidRPr="00717728">
              <w:rPr>
                <w:rFonts w:ascii="Times New Roman" w:hAnsi="Times New Roman" w:cs="Times New Roman"/>
                <w:color w:val="auto"/>
                <w:sz w:val="22"/>
                <w:szCs w:val="22"/>
              </w:rPr>
              <w:t xml:space="preserve"> of any changes in legal, financial, technical, organisational or ownership situation as well as of any changes in the name, address or legal representative or concerning financial information</w:t>
            </w:r>
            <w:r w:rsidRPr="00717728">
              <w:rPr>
                <w:rFonts w:ascii="Times New Roman" w:hAnsi="Times New Roman" w:cs="Times New Roman"/>
                <w:color w:val="auto"/>
                <w:sz w:val="22"/>
                <w:szCs w:val="22"/>
                <w:highlight w:val="lightGray"/>
              </w:rPr>
              <w:t>;</w:t>
            </w:r>
          </w:p>
        </w:tc>
      </w:tr>
      <w:tr w:rsidR="00495ADE" w:rsidRPr="00717728" w14:paraId="7E83F1A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5CF7BFC" w14:textId="2C45EACA" w:rsidR="00495ADE" w:rsidRPr="00717728" w:rsidRDefault="009D56B8" w:rsidP="00D60DAC">
            <w:pPr>
              <w:pStyle w:val="Default"/>
              <w:spacing w:after="120" w:line="259" w:lineRule="auto"/>
              <w:ind w:left="720"/>
              <w:contextualSpacing/>
              <w:jc w:val="both"/>
              <w:rPr>
                <w:rFonts w:ascii="Times New Roman" w:hAnsi="Times New Roman" w:cs="Times New Roman"/>
                <w:b/>
                <w:lang w:val="hy-AM"/>
              </w:rPr>
            </w:pPr>
            <w:r>
              <w:rPr>
                <w:rFonts w:ascii="Times New Roman" w:hAnsi="Times New Roman" w:cs="Times New Roman"/>
                <w:color w:val="auto"/>
                <w:sz w:val="22"/>
                <w:szCs w:val="22"/>
                <w:lang w:val="hy-AM"/>
              </w:rPr>
              <w:t>Ե</w:t>
            </w:r>
            <w:r w:rsidR="00495ADE">
              <w:rPr>
                <w:rFonts w:ascii="Times New Roman" w:hAnsi="Times New Roman" w:cs="Times New Roman"/>
                <w:color w:val="auto"/>
                <w:sz w:val="22"/>
                <w:szCs w:val="22"/>
              </w:rPr>
              <w:t xml:space="preserve">. </w:t>
            </w:r>
            <w:r w:rsidR="00495ADE" w:rsidRPr="00717728">
              <w:rPr>
                <w:rFonts w:ascii="Times New Roman" w:hAnsi="Times New Roman" w:cs="Times New Roman"/>
                <w:color w:val="auto"/>
                <w:sz w:val="22"/>
                <w:szCs w:val="22"/>
              </w:rPr>
              <w:t>մշտադիտարկմա</w:t>
            </w:r>
            <w:bookmarkStart w:id="13" w:name="_GoBack"/>
            <w:bookmarkEnd w:id="13"/>
            <w:r w:rsidR="00495ADE" w:rsidRPr="00717728">
              <w:rPr>
                <w:rFonts w:ascii="Times New Roman" w:hAnsi="Times New Roman" w:cs="Times New Roman"/>
                <w:color w:val="auto"/>
                <w:sz w:val="22"/>
                <w:szCs w:val="22"/>
              </w:rPr>
              <w:t xml:space="preserve">ն/գնահատման կամ 17-րդ հոդվածով նախատեսված աուդիտների և ստուգումների դեպքում տրամադրել անհրաժեշտ բոլոր փաստաթղթերը, ի թիվս այլնի՝ </w:t>
            </w:r>
            <w:r w:rsidR="00495ADE">
              <w:rPr>
                <w:rFonts w:ascii="Times New Roman" w:hAnsi="Times New Roman" w:cs="Times New Roman"/>
                <w:color w:val="auto"/>
                <w:sz w:val="22"/>
                <w:szCs w:val="22"/>
              </w:rPr>
              <w:t>քաղվածքներ</w:t>
            </w:r>
            <w:r w:rsidR="00495ADE" w:rsidRPr="00717728">
              <w:rPr>
                <w:rFonts w:ascii="Times New Roman" w:hAnsi="Times New Roman" w:cs="Times New Roman"/>
                <w:color w:val="auto"/>
                <w:sz w:val="22"/>
                <w:szCs w:val="22"/>
              </w:rPr>
              <w:t xml:space="preserve"> հաշիվներից, համապատասխան ուղեկցող փաստաթղթերի պատճեններ և Գործողության իրականացման նպատակով կնքված ցանկացած պայմանագրի ստորագրված պատճեններ՝ համաձայն 17.4-րդ հոդվածի, կամ </w:t>
            </w:r>
            <w:r w:rsidR="00495ADE" w:rsidRPr="000941D1">
              <w:rPr>
                <w:rFonts w:ascii="Times New Roman" w:hAnsi="Times New Roman" w:cs="Times New Roman"/>
                <w:color w:val="auto"/>
                <w:sz w:val="22"/>
                <w:szCs w:val="22"/>
              </w:rPr>
              <w:t>հասանելի</w:t>
            </w:r>
            <w:r w:rsidR="00495ADE" w:rsidRPr="00717728">
              <w:rPr>
                <w:rFonts w:ascii="Times New Roman" w:hAnsi="Times New Roman" w:cs="Times New Roman"/>
                <w:color w:val="auto"/>
                <w:sz w:val="22"/>
                <w:szCs w:val="22"/>
              </w:rPr>
              <w:t xml:space="preserve"> դարձնել նույն փաստաթղթերը,</w:t>
            </w:r>
          </w:p>
        </w:tc>
        <w:tc>
          <w:tcPr>
            <w:tcW w:w="333" w:type="dxa"/>
            <w:gridSpan w:val="2"/>
            <w:tcBorders>
              <w:top w:val="nil"/>
              <w:left w:val="nil"/>
              <w:bottom w:val="nil"/>
              <w:right w:val="nil"/>
            </w:tcBorders>
          </w:tcPr>
          <w:p w14:paraId="71BE328D" w14:textId="77777777" w:rsidR="00495ADE" w:rsidRPr="00717728" w:rsidRDefault="00495ADE" w:rsidP="000941D1">
            <w:pPr>
              <w:pStyle w:val="Default"/>
              <w:numPr>
                <w:ilvl w:val="0"/>
                <w:numId w:val="97"/>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03D431B7" w14:textId="0E9038D7" w:rsidR="00495ADE" w:rsidRPr="00717728" w:rsidRDefault="00495ADE" w:rsidP="000941D1">
            <w:pPr>
              <w:pStyle w:val="Default"/>
              <w:numPr>
                <w:ilvl w:val="0"/>
                <w:numId w:val="98"/>
              </w:numPr>
              <w:spacing w:after="120" w:line="259" w:lineRule="auto"/>
              <w:contextualSpacing/>
              <w:jc w:val="both"/>
              <w:rPr>
                <w:rFonts w:ascii="Times New Roman" w:hAnsi="Times New Roman" w:cs="Times New Roman"/>
                <w:b/>
                <w:bCs/>
              </w:rPr>
            </w:pPr>
            <w:r w:rsidRPr="00717728">
              <w:rPr>
                <w:rFonts w:ascii="Times New Roman" w:hAnsi="Times New Roman" w:cs="Times New Roman"/>
                <w:sz w:val="22"/>
                <w:szCs w:val="22"/>
              </w:rPr>
              <w:t>in</w:t>
            </w:r>
            <w:r w:rsidRPr="00717728">
              <w:rPr>
                <w:rFonts w:ascii="Times New Roman" w:hAnsi="Times New Roman" w:cs="Times New Roman"/>
                <w:color w:val="auto"/>
                <w:sz w:val="22"/>
                <w:szCs w:val="22"/>
              </w:rPr>
              <w:t xml:space="preserve"> the event of audits and checks, as described in Article 17, or monitoring / evaluations - provide all the necessary documents</w:t>
            </w:r>
            <w:r w:rsidRPr="00717728">
              <w:rPr>
                <w:rFonts w:ascii="Times New Roman" w:hAnsi="Times New Roman" w:cs="Times New Roman"/>
                <w:color w:val="auto"/>
                <w:sz w:val="22"/>
                <w:szCs w:val="22"/>
                <w:highlight w:val="lightGray"/>
              </w:rPr>
              <w:t>,</w:t>
            </w:r>
            <w:r w:rsidRPr="00717728">
              <w:rPr>
                <w:rFonts w:ascii="Times New Roman" w:hAnsi="Times New Roman" w:cs="Times New Roman"/>
                <w:bCs/>
                <w:color w:val="auto"/>
                <w:sz w:val="22"/>
                <w:szCs w:val="22"/>
              </w:rPr>
              <w:t xml:space="preserve"> </w:t>
            </w:r>
            <w:r w:rsidRPr="00717728">
              <w:rPr>
                <w:rFonts w:ascii="Times New Roman" w:hAnsi="Times New Roman" w:cs="Times New Roman"/>
                <w:color w:val="auto"/>
                <w:sz w:val="22"/>
                <w:szCs w:val="22"/>
              </w:rPr>
              <w:t>including but not limited to: excerpts from accounts, copies of relevant supporting documents and signed copies of any contract concluded to implement the Action according to Article 17.4, or access to the same documents;</w:t>
            </w:r>
          </w:p>
        </w:tc>
      </w:tr>
      <w:tr w:rsidR="00495ADE" w:rsidRPr="00717728" w14:paraId="53C97EB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192C18A8" w14:textId="589C5DC3" w:rsidR="00495ADE" w:rsidRPr="000941D1" w:rsidRDefault="009D56B8" w:rsidP="00D60DAC">
            <w:pPr>
              <w:pStyle w:val="Default"/>
              <w:spacing w:after="120" w:line="259" w:lineRule="auto"/>
              <w:ind w:left="720"/>
              <w:contextualSpacing/>
              <w:jc w:val="both"/>
              <w:rPr>
                <w:rFonts w:ascii="Times New Roman" w:hAnsi="Times New Roman" w:cs="Times New Roman"/>
                <w:color w:val="auto"/>
              </w:rPr>
            </w:pPr>
            <w:r w:rsidRPr="000941D1">
              <w:rPr>
                <w:rFonts w:ascii="Times New Roman" w:hAnsi="Times New Roman" w:cs="Times New Roman"/>
                <w:b/>
                <w:color w:val="auto"/>
                <w:sz w:val="22"/>
                <w:szCs w:val="22"/>
                <w:lang w:val="hy-AM"/>
              </w:rPr>
              <w:lastRenderedPageBreak/>
              <w:t>Զ․</w:t>
            </w:r>
            <w:r w:rsidR="00495ADE" w:rsidRPr="000941D1">
              <w:rPr>
                <w:rFonts w:ascii="Times New Roman" w:hAnsi="Times New Roman" w:cs="Times New Roman"/>
                <w:b/>
                <w:color w:val="auto"/>
                <w:sz w:val="22"/>
                <w:szCs w:val="22"/>
              </w:rPr>
              <w:t xml:space="preserve"> լիարժեք</w:t>
            </w:r>
            <w:r w:rsidR="00495ADE" w:rsidRPr="00AA07B7">
              <w:rPr>
                <w:rFonts w:ascii="Times New Roman" w:hAnsi="Times New Roman" w:cs="Times New Roman"/>
                <w:color w:val="auto"/>
                <w:sz w:val="22"/>
                <w:szCs w:val="22"/>
              </w:rPr>
              <w:t xml:space="preserve"> հաշվետու լինել ֆինանսական տեսանկյունից` ապահովելով Գործողության իրականացումը՝ Պայմանագրով սահմանված կարգով,</w:t>
            </w:r>
          </w:p>
        </w:tc>
        <w:tc>
          <w:tcPr>
            <w:tcW w:w="333" w:type="dxa"/>
            <w:gridSpan w:val="2"/>
            <w:tcBorders>
              <w:top w:val="nil"/>
              <w:left w:val="nil"/>
              <w:bottom w:val="nil"/>
              <w:right w:val="nil"/>
            </w:tcBorders>
          </w:tcPr>
          <w:p w14:paraId="0C07C49C" w14:textId="77777777" w:rsidR="00495ADE" w:rsidRPr="00AA07B7" w:rsidRDefault="00495ADE" w:rsidP="000941D1">
            <w:pPr>
              <w:pStyle w:val="Default"/>
              <w:numPr>
                <w:ilvl w:val="0"/>
                <w:numId w:val="98"/>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4BBAAE9C" w14:textId="28A639E5" w:rsidR="00495ADE" w:rsidRPr="000941D1" w:rsidRDefault="00495ADE" w:rsidP="000941D1">
            <w:pPr>
              <w:pStyle w:val="Default"/>
              <w:numPr>
                <w:ilvl w:val="0"/>
                <w:numId w:val="99"/>
              </w:numPr>
              <w:spacing w:after="120" w:line="259" w:lineRule="auto"/>
              <w:contextualSpacing/>
              <w:jc w:val="both"/>
              <w:rPr>
                <w:rFonts w:ascii="Times New Roman" w:hAnsi="Times New Roman" w:cs="Times New Roman"/>
                <w:bCs/>
                <w:color w:val="auto"/>
              </w:rPr>
            </w:pPr>
            <w:r w:rsidRPr="00AA07B7">
              <w:rPr>
                <w:rFonts w:ascii="Times New Roman" w:hAnsi="Times New Roman" w:cs="Times New Roman"/>
                <w:color w:val="auto"/>
                <w:sz w:val="22"/>
                <w:szCs w:val="22"/>
              </w:rPr>
              <w:t>be fully accountable from a financial point of view for ensuring that the action is implemented in accordance with this Contract;</w:t>
            </w:r>
          </w:p>
        </w:tc>
      </w:tr>
      <w:tr w:rsidR="00495ADE" w:rsidRPr="00717728" w14:paraId="3CC27E0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70A83283" w14:textId="45DD2B6B" w:rsidR="00495ADE" w:rsidRPr="000941D1" w:rsidRDefault="009D56B8" w:rsidP="00D60DAC">
            <w:pPr>
              <w:pStyle w:val="Default"/>
              <w:spacing w:after="120" w:line="259" w:lineRule="auto"/>
              <w:ind w:left="720"/>
              <w:contextualSpacing/>
              <w:jc w:val="both"/>
              <w:rPr>
                <w:rFonts w:ascii="Times New Roman" w:hAnsi="Times New Roman" w:cs="Times New Roman"/>
                <w:color w:val="auto"/>
                <w:lang w:val="hy-AM"/>
              </w:rPr>
            </w:pPr>
            <w:r w:rsidRPr="00AA07B7">
              <w:rPr>
                <w:rFonts w:ascii="Times New Roman" w:hAnsi="Times New Roman" w:cs="Times New Roman"/>
                <w:color w:val="auto"/>
                <w:sz w:val="22"/>
                <w:szCs w:val="22"/>
                <w:lang w:val="hy-AM"/>
              </w:rPr>
              <w:t>Է</w:t>
            </w:r>
            <w:r w:rsidR="00495ADE" w:rsidRPr="00AA07B7">
              <w:rPr>
                <w:rFonts w:ascii="Times New Roman" w:hAnsi="Times New Roman" w:cs="Times New Roman"/>
                <w:color w:val="auto"/>
                <w:sz w:val="22"/>
                <w:szCs w:val="22"/>
              </w:rPr>
              <w:t>. լինել Ենթադրամաշնորհատուի կողմից կատարվող վճարումների միակ ստացողը</w:t>
            </w:r>
          </w:p>
        </w:tc>
        <w:tc>
          <w:tcPr>
            <w:tcW w:w="333" w:type="dxa"/>
            <w:gridSpan w:val="2"/>
            <w:tcBorders>
              <w:top w:val="nil"/>
              <w:left w:val="nil"/>
              <w:bottom w:val="nil"/>
              <w:right w:val="nil"/>
            </w:tcBorders>
          </w:tcPr>
          <w:p w14:paraId="3DB5F72C" w14:textId="77777777" w:rsidR="00495ADE" w:rsidRPr="000941D1" w:rsidRDefault="00495ADE" w:rsidP="000941D1">
            <w:pPr>
              <w:pStyle w:val="Default"/>
              <w:numPr>
                <w:ilvl w:val="0"/>
                <w:numId w:val="99"/>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7FA6CAE4" w14:textId="796C5432" w:rsidR="00495ADE" w:rsidRPr="000941D1" w:rsidRDefault="00495ADE" w:rsidP="000941D1">
            <w:pPr>
              <w:pStyle w:val="Default"/>
              <w:numPr>
                <w:ilvl w:val="0"/>
                <w:numId w:val="100"/>
              </w:numPr>
              <w:spacing w:after="120" w:line="259" w:lineRule="auto"/>
              <w:contextualSpacing/>
              <w:jc w:val="both"/>
              <w:rPr>
                <w:rFonts w:ascii="Times New Roman" w:hAnsi="Times New Roman" w:cs="Times New Roman"/>
                <w:bCs/>
                <w:color w:val="auto"/>
              </w:rPr>
            </w:pPr>
            <w:r w:rsidRPr="000941D1">
              <w:rPr>
                <w:rFonts w:ascii="Times New Roman" w:hAnsi="Times New Roman" w:cs="Times New Roman"/>
                <w:color w:val="auto"/>
                <w:sz w:val="22"/>
                <w:szCs w:val="22"/>
              </w:rPr>
              <w:t>be</w:t>
            </w:r>
            <w:r w:rsidRPr="00AA07B7">
              <w:rPr>
                <w:rFonts w:ascii="Times New Roman" w:hAnsi="Times New Roman" w:cs="Times New Roman"/>
                <w:color w:val="auto"/>
                <w:sz w:val="22"/>
                <w:szCs w:val="22"/>
              </w:rPr>
              <w:t xml:space="preserve"> the sole recipient of the payments of the Sub-grantor</w:t>
            </w:r>
            <w:r w:rsidRPr="000941D1">
              <w:rPr>
                <w:rFonts w:ascii="Times New Roman" w:hAnsi="Times New Roman" w:cs="Times New Roman"/>
                <w:color w:val="auto"/>
                <w:sz w:val="22"/>
                <w:szCs w:val="22"/>
              </w:rPr>
              <w:t>.</w:t>
            </w:r>
          </w:p>
        </w:tc>
      </w:tr>
      <w:tr w:rsidR="00495ADE" w:rsidRPr="00717728" w14:paraId="7B63D67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62805E1" w14:textId="383A3C8A" w:rsidR="00495ADE" w:rsidRPr="00AA07B7" w:rsidRDefault="00495ADE" w:rsidP="00D60DAC">
            <w:pPr>
              <w:tabs>
                <w:tab w:val="left" w:pos="6237"/>
              </w:tabs>
              <w:autoSpaceDE w:val="0"/>
              <w:autoSpaceDN w:val="0"/>
              <w:adjustRightInd w:val="0"/>
              <w:spacing w:before="60" w:after="60" w:line="240" w:lineRule="auto"/>
              <w:jc w:val="both"/>
              <w:rPr>
                <w:rFonts w:ascii="Times New Roman" w:hAnsi="Times New Roman" w:cs="Times New Roman"/>
              </w:rPr>
            </w:pPr>
            <w:r w:rsidRPr="00AA07B7">
              <w:rPr>
                <w:rFonts w:ascii="Times New Roman" w:hAnsi="Times New Roman" w:cs="Times New Roman"/>
                <w:szCs w:val="18"/>
              </w:rPr>
              <w:t>Ենթադրամաշնորհառուն չի կարող այս պարտավորություններից որևէ մեկը պատվիրակել</w:t>
            </w:r>
            <w:r w:rsidRPr="00AA07B7">
              <w:rPr>
                <w:rStyle w:val="CommentReference"/>
                <w:rFonts w:ascii="Times New Roman" w:hAnsi="Times New Roman" w:cs="Times New Roman"/>
              </w:rPr>
              <w:t xml:space="preserve"> </w:t>
            </w:r>
            <w:r w:rsidRPr="00AA07B7">
              <w:rPr>
                <w:rFonts w:ascii="Times New Roman" w:hAnsi="Times New Roman" w:cs="Times New Roman"/>
                <w:szCs w:val="18"/>
              </w:rPr>
              <w:t>երրորդ կողմի:</w:t>
            </w:r>
          </w:p>
        </w:tc>
        <w:tc>
          <w:tcPr>
            <w:tcW w:w="333" w:type="dxa"/>
            <w:gridSpan w:val="2"/>
            <w:tcBorders>
              <w:top w:val="nil"/>
              <w:left w:val="nil"/>
              <w:bottom w:val="nil"/>
              <w:right w:val="nil"/>
            </w:tcBorders>
          </w:tcPr>
          <w:p w14:paraId="68F1842D" w14:textId="77777777" w:rsidR="00495ADE" w:rsidRPr="00AA07B7" w:rsidRDefault="00495ADE" w:rsidP="00F85D4E">
            <w:pPr>
              <w:spacing w:after="120" w:line="259" w:lineRule="auto"/>
              <w:contextualSpacing/>
              <w:rPr>
                <w:rFonts w:ascii="Times New Roman" w:hAnsi="Times New Roman" w:cs="Times New Roman"/>
                <w:szCs w:val="18"/>
              </w:rPr>
            </w:pPr>
          </w:p>
        </w:tc>
        <w:tc>
          <w:tcPr>
            <w:tcW w:w="3895" w:type="dxa"/>
            <w:tcBorders>
              <w:top w:val="nil"/>
              <w:left w:val="nil"/>
              <w:bottom w:val="nil"/>
              <w:right w:val="nil"/>
            </w:tcBorders>
          </w:tcPr>
          <w:p w14:paraId="21142901" w14:textId="08D8318C" w:rsidR="00495ADE" w:rsidRPr="00AA07B7" w:rsidRDefault="00495ADE" w:rsidP="00F85D4E">
            <w:pPr>
              <w:spacing w:after="120" w:line="259" w:lineRule="auto"/>
              <w:contextualSpacing/>
              <w:rPr>
                <w:rFonts w:ascii="Times New Roman" w:hAnsi="Times New Roman" w:cs="Times New Roman"/>
                <w:szCs w:val="18"/>
              </w:rPr>
            </w:pPr>
            <w:r w:rsidRPr="00AA07B7">
              <w:rPr>
                <w:rFonts w:ascii="Times New Roman" w:hAnsi="Times New Roman" w:cs="Times New Roman"/>
                <w:szCs w:val="18"/>
              </w:rPr>
              <w:t>The Sub-Grantee shall not delegate any of these tasks.</w:t>
            </w:r>
          </w:p>
          <w:p w14:paraId="48763F36" w14:textId="3E9DE943" w:rsidR="00495ADE" w:rsidRPr="00AA07B7" w:rsidRDefault="00495ADE" w:rsidP="00F85D4E">
            <w:pPr>
              <w:tabs>
                <w:tab w:val="left" w:pos="6237"/>
              </w:tabs>
              <w:spacing w:before="60" w:after="60" w:line="240" w:lineRule="auto"/>
              <w:jc w:val="both"/>
              <w:rPr>
                <w:rFonts w:ascii="Times New Roman" w:hAnsi="Times New Roman" w:cs="Times New Roman"/>
                <w:bCs/>
              </w:rPr>
            </w:pPr>
          </w:p>
        </w:tc>
      </w:tr>
      <w:tr w:rsidR="00495ADE" w:rsidRPr="00717728" w14:paraId="19E81C6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C086EFE" w14:textId="6C4385A2" w:rsidR="00495ADE" w:rsidRPr="00AA07B7" w:rsidRDefault="00495ADE" w:rsidP="009727A6">
            <w:pPr>
              <w:tabs>
                <w:tab w:val="left" w:pos="6237"/>
              </w:tabs>
              <w:spacing w:before="60" w:after="60" w:line="240" w:lineRule="auto"/>
              <w:ind w:left="180"/>
              <w:rPr>
                <w:rFonts w:ascii="Times New Roman" w:hAnsi="Times New Roman" w:cs="Times New Roman"/>
                <w:lang w:val="hy-AM"/>
              </w:rPr>
            </w:pPr>
            <w:bookmarkStart w:id="14" w:name="_Toc70236974"/>
            <w:r w:rsidRPr="00AA07B7">
              <w:rPr>
                <w:rFonts w:ascii="Times New Roman" w:hAnsi="Times New Roman" w:cs="Times New Roman"/>
                <w:b/>
              </w:rPr>
              <w:t xml:space="preserve">ՀՈԴՎԱԾ 7 – Պատասխանատվություն </w:t>
            </w:r>
            <w:bookmarkEnd w:id="14"/>
          </w:p>
        </w:tc>
        <w:tc>
          <w:tcPr>
            <w:tcW w:w="333" w:type="dxa"/>
            <w:gridSpan w:val="2"/>
            <w:tcBorders>
              <w:top w:val="nil"/>
              <w:left w:val="nil"/>
              <w:bottom w:val="nil"/>
              <w:right w:val="nil"/>
            </w:tcBorders>
          </w:tcPr>
          <w:p w14:paraId="0B1BB080" w14:textId="77777777" w:rsidR="00495ADE" w:rsidRPr="00AA07B7" w:rsidRDefault="00495ADE" w:rsidP="00F85D4E">
            <w:pPr>
              <w:tabs>
                <w:tab w:val="left" w:pos="6237"/>
              </w:tabs>
              <w:spacing w:before="60" w:after="60" w:line="240" w:lineRule="auto"/>
              <w:rPr>
                <w:rFonts w:ascii="Times New Roman" w:eastAsia="Times New Roman" w:hAnsi="Times New Roman" w:cs="Times New Roman"/>
                <w:b/>
                <w:sz w:val="24"/>
                <w:szCs w:val="20"/>
                <w:lang w:val="en-GB"/>
              </w:rPr>
            </w:pPr>
          </w:p>
        </w:tc>
        <w:tc>
          <w:tcPr>
            <w:tcW w:w="3895" w:type="dxa"/>
            <w:tcBorders>
              <w:top w:val="nil"/>
              <w:left w:val="nil"/>
              <w:bottom w:val="nil"/>
              <w:right w:val="nil"/>
            </w:tcBorders>
          </w:tcPr>
          <w:p w14:paraId="7820B5B7" w14:textId="146894A8" w:rsidR="00495ADE" w:rsidRPr="00AA07B7" w:rsidRDefault="00495ADE" w:rsidP="00F85D4E">
            <w:pPr>
              <w:tabs>
                <w:tab w:val="left" w:pos="6237"/>
              </w:tabs>
              <w:spacing w:before="60" w:after="60" w:line="240" w:lineRule="auto"/>
              <w:rPr>
                <w:rFonts w:ascii="Times New Roman" w:hAnsi="Times New Roman" w:cs="Times New Roman"/>
              </w:rPr>
            </w:pPr>
            <w:bookmarkStart w:id="15" w:name="_Toc67590174"/>
            <w:r w:rsidRPr="00AA07B7">
              <w:rPr>
                <w:rFonts w:ascii="Times New Roman" w:eastAsia="Times New Roman" w:hAnsi="Times New Roman" w:cs="Times New Roman"/>
                <w:b/>
                <w:sz w:val="24"/>
                <w:szCs w:val="20"/>
                <w:lang w:val="en-GB"/>
              </w:rPr>
              <w:t>ARTICLE 7 – Liability</w:t>
            </w:r>
            <w:bookmarkEnd w:id="15"/>
          </w:p>
        </w:tc>
      </w:tr>
      <w:tr w:rsidR="00495ADE" w:rsidRPr="00717728" w14:paraId="30D6655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45E6670" w14:textId="0AC4F8D0" w:rsidR="00495ADE" w:rsidRPr="000941D1" w:rsidRDefault="00495ADE" w:rsidP="001019CC">
            <w:pPr>
              <w:pStyle w:val="Default"/>
              <w:spacing w:after="120" w:line="259" w:lineRule="auto"/>
              <w:contextualSpacing/>
              <w:jc w:val="both"/>
              <w:rPr>
                <w:rFonts w:ascii="Times New Roman" w:hAnsi="Times New Roman" w:cs="Times New Roman"/>
                <w:color w:val="auto"/>
              </w:rPr>
            </w:pPr>
            <w:r w:rsidRPr="000941D1">
              <w:rPr>
                <w:rFonts w:ascii="Times New Roman" w:hAnsi="Times New Roman" w:cs="Times New Roman"/>
                <w:color w:val="auto"/>
                <w:sz w:val="22"/>
                <w:szCs w:val="22"/>
              </w:rPr>
              <w:t>7.1. Ենթադրամաշնորհատուն որևէ պարագայում կամ որևէ պատճառով չի կարող պատասխանատվություն կրել Գործողության իրականացման ընթացքում կամ դրա հետևանքով Ենթադրամաշնորհ</w:t>
            </w:r>
            <w:r w:rsidR="008A64F1" w:rsidRPr="000941D1">
              <w:rPr>
                <w:rFonts w:ascii="Times New Roman" w:hAnsi="Times New Roman" w:cs="Times New Roman"/>
                <w:color w:val="auto"/>
                <w:sz w:val="22"/>
                <w:szCs w:val="22"/>
                <w:lang w:val="hy-AM"/>
              </w:rPr>
              <w:t>առուի</w:t>
            </w:r>
            <w:r w:rsidR="00232637" w:rsidRPr="000941D1">
              <w:rPr>
                <w:rFonts w:ascii="Times New Roman" w:hAnsi="Times New Roman" w:cs="Times New Roman"/>
                <w:color w:val="auto"/>
                <w:sz w:val="22"/>
                <w:szCs w:val="22"/>
              </w:rPr>
              <w:t xml:space="preserve"> </w:t>
            </w:r>
            <w:r w:rsidRPr="000941D1">
              <w:rPr>
                <w:rFonts w:ascii="Times New Roman" w:hAnsi="Times New Roman" w:cs="Times New Roman"/>
                <w:color w:val="auto"/>
                <w:sz w:val="22"/>
                <w:szCs w:val="22"/>
              </w:rPr>
              <w:t xml:space="preserve">գույքի կամ անձնակազմի կրած վնասների կամ վնասվածքների համար: Հետևաբար, Ենթադրամաշնորհատուն չի կարող ընդունել նման վնասի կամ վնասվածքի հետ կապված որևէ փոխհատուցման կամ վճարման ավելացման պահանջ: </w:t>
            </w:r>
          </w:p>
        </w:tc>
        <w:tc>
          <w:tcPr>
            <w:tcW w:w="333" w:type="dxa"/>
            <w:gridSpan w:val="2"/>
            <w:tcBorders>
              <w:top w:val="nil"/>
              <w:left w:val="nil"/>
              <w:bottom w:val="nil"/>
              <w:right w:val="nil"/>
            </w:tcBorders>
          </w:tcPr>
          <w:p w14:paraId="29FCDF74" w14:textId="77777777" w:rsidR="00495ADE" w:rsidRPr="00AA07B7" w:rsidRDefault="00495ADE" w:rsidP="00D60DAC">
            <w:pPr>
              <w:pStyle w:val="ListParagraph"/>
              <w:tabs>
                <w:tab w:val="left" w:pos="6237"/>
              </w:tabs>
              <w:spacing w:before="60" w:after="60" w:line="240" w:lineRule="auto"/>
              <w:ind w:left="0"/>
              <w:contextualSpacing w:val="0"/>
              <w:rPr>
                <w:rFonts w:ascii="Times New Roman" w:hAnsi="Times New Roman" w:cs="Times New Roman"/>
              </w:rPr>
            </w:pPr>
          </w:p>
        </w:tc>
        <w:tc>
          <w:tcPr>
            <w:tcW w:w="3895" w:type="dxa"/>
            <w:tcBorders>
              <w:top w:val="nil"/>
              <w:left w:val="nil"/>
              <w:bottom w:val="nil"/>
              <w:right w:val="nil"/>
            </w:tcBorders>
          </w:tcPr>
          <w:p w14:paraId="548C9900" w14:textId="1B736254" w:rsidR="00495ADE" w:rsidRPr="00AA07B7" w:rsidRDefault="00495ADE" w:rsidP="00D60DAC">
            <w:pPr>
              <w:pStyle w:val="ListParagraph"/>
              <w:tabs>
                <w:tab w:val="left" w:pos="6237"/>
              </w:tabs>
              <w:spacing w:before="60" w:after="60" w:line="240" w:lineRule="auto"/>
              <w:ind w:left="0"/>
              <w:contextualSpacing w:val="0"/>
              <w:rPr>
                <w:rFonts w:ascii="Times New Roman" w:hAnsi="Times New Roman" w:cs="Times New Roman"/>
                <w:b/>
              </w:rPr>
            </w:pPr>
            <w:r w:rsidRPr="00AA07B7">
              <w:rPr>
                <w:rFonts w:ascii="Times New Roman" w:hAnsi="Times New Roman" w:cs="Times New Roman"/>
              </w:rPr>
              <w:t xml:space="preserve">7.1. The Sub-grantor cannot under any circumstances or for any reason whatsoever be held liable for damage or injury sustained by the staff or property of the </w:t>
            </w:r>
            <w:r w:rsidRPr="000941D1">
              <w:rPr>
                <w:rFonts w:ascii="Times New Roman" w:hAnsi="Times New Roman" w:cs="Times New Roman"/>
              </w:rPr>
              <w:t xml:space="preserve">Sub-Grantee </w:t>
            </w:r>
            <w:r w:rsidRPr="00AA07B7">
              <w:rPr>
                <w:rFonts w:ascii="Times New Roman" w:hAnsi="Times New Roman" w:cs="Times New Roman"/>
              </w:rPr>
              <w:t>while the Action is being carried out or as a consequence of the Action. The Sub-grantor cannot, therefore, accept any claim for compensation or increases in payment in connection with such damage or injury.</w:t>
            </w:r>
          </w:p>
        </w:tc>
      </w:tr>
      <w:tr w:rsidR="00495ADE" w:rsidRPr="00717728" w14:paraId="7DFBAE3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E14E151" w14:textId="29513F58" w:rsidR="00495ADE" w:rsidRPr="00AA07B7" w:rsidRDefault="00495ADE" w:rsidP="001019CC">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7.2. </w:t>
            </w:r>
            <w:r w:rsidRPr="000941D1">
              <w:rPr>
                <w:rFonts w:ascii="Times New Roman" w:hAnsi="Times New Roman" w:cs="Times New Roman"/>
              </w:rPr>
              <w:t>Ենթադրամաշնորհառուն</w:t>
            </w:r>
            <w:r w:rsidRPr="00AA07B7">
              <w:rPr>
                <w:rFonts w:ascii="Times New Roman" w:hAnsi="Times New Roman" w:cs="Times New Roman"/>
              </w:rPr>
              <w:t xml:space="preserve">ստանձնում են միանձնյա պատասխանատվություն երրորդ կողմի նկատմամբ, ներառյալ  Գործողության իրականացման ընթացքում կամ դրա հետևանքով նրանց կրած վնասների կամ վնասվածքների համար: </w:t>
            </w:r>
            <w:r w:rsidRPr="000941D1">
              <w:rPr>
                <w:rFonts w:ascii="Times New Roman" w:hAnsi="Times New Roman" w:cs="Times New Roman"/>
              </w:rPr>
              <w:t>Ենթադրամաշնորհառուն</w:t>
            </w:r>
            <w:r w:rsidRPr="00AA07B7">
              <w:rPr>
                <w:rFonts w:ascii="Times New Roman" w:hAnsi="Times New Roman" w:cs="Times New Roman"/>
              </w:rPr>
              <w:t xml:space="preserve">ազատում են Ենթադրամաշնորհատուին ցանկացած պատասխանատվությունից, որը բխում է ցանկացած պահանջից կամ գործողությունից, որն առաջացել է </w:t>
            </w:r>
            <w:r w:rsidR="008A64F1" w:rsidRPr="00AA07B7">
              <w:rPr>
                <w:rFonts w:ascii="Times New Roman" w:hAnsi="Times New Roman" w:cs="Times New Roman"/>
                <w:lang w:val="hy-AM"/>
              </w:rPr>
              <w:t>ենթադրամաշնորհառուի</w:t>
            </w:r>
            <w:r w:rsidRPr="00AA07B7">
              <w:rPr>
                <w:rFonts w:ascii="Times New Roman" w:hAnsi="Times New Roman" w:cs="Times New Roman"/>
              </w:rPr>
              <w:t xml:space="preserve">աշխատակիցների կամ աշխատակիցների պատասխանատվության ներքո գտնվող անձանց կողմից կանոնների կամ կանոնակարգերի խախտման, ինչպես նաև երրորդ կողմի թույլ տված իրավունքների խախտման հետևանքով: 7-րդ հոդվածի իմաստով </w:t>
            </w:r>
            <w:r w:rsidRPr="000941D1">
              <w:rPr>
                <w:rFonts w:ascii="Times New Roman" w:hAnsi="Times New Roman" w:cs="Times New Roman"/>
              </w:rPr>
              <w:t xml:space="preserve">Ենթադրամաշնորհառուն </w:t>
            </w:r>
            <w:r w:rsidRPr="00AA07B7">
              <w:rPr>
                <w:rFonts w:ascii="Times New Roman" w:hAnsi="Times New Roman" w:cs="Times New Roman"/>
              </w:rPr>
              <w:t>աշխատակիցները համարվում են երրորդ կողմ:</w:t>
            </w:r>
          </w:p>
        </w:tc>
        <w:tc>
          <w:tcPr>
            <w:tcW w:w="333" w:type="dxa"/>
            <w:gridSpan w:val="2"/>
            <w:tcBorders>
              <w:top w:val="nil"/>
              <w:left w:val="nil"/>
              <w:bottom w:val="nil"/>
              <w:right w:val="nil"/>
            </w:tcBorders>
          </w:tcPr>
          <w:p w14:paraId="76DC85DE" w14:textId="77777777" w:rsidR="00495ADE" w:rsidRPr="00AA07B7" w:rsidRDefault="00495ADE" w:rsidP="000C25B3">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5214AB47" w14:textId="234EF508" w:rsidR="00495ADE" w:rsidRPr="00AA07B7" w:rsidRDefault="00495ADE" w:rsidP="000C25B3">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7.2. The </w:t>
            </w:r>
            <w:r w:rsidRPr="000941D1">
              <w:rPr>
                <w:rFonts w:ascii="Times New Roman" w:hAnsi="Times New Roman" w:cs="Times New Roman"/>
              </w:rPr>
              <w:t xml:space="preserve">Sub-Grantee </w:t>
            </w:r>
            <w:r w:rsidRPr="00AA07B7">
              <w:rPr>
                <w:rFonts w:ascii="Times New Roman" w:hAnsi="Times New Roman" w:cs="Times New Roman"/>
              </w:rPr>
              <w:t xml:space="preserve">shall assume sole liability towards third parties, including liability for damage or injury of any kind sustained by them while the Action is being carried out or as a consequence of the action. The </w:t>
            </w:r>
            <w:r w:rsidRPr="000941D1">
              <w:rPr>
                <w:rFonts w:ascii="Times New Roman" w:hAnsi="Times New Roman" w:cs="Times New Roman"/>
              </w:rPr>
              <w:t xml:space="preserve">Sub-Grantee </w:t>
            </w:r>
            <w:r w:rsidRPr="00AA07B7">
              <w:rPr>
                <w:rFonts w:ascii="Times New Roman" w:hAnsi="Times New Roman" w:cs="Times New Roman"/>
              </w:rPr>
              <w:t xml:space="preserve">shall discharge the Sub-grantor of all liability arising from any claim or action brought as a result of an infringement of rules or regulations by the </w:t>
            </w:r>
            <w:r w:rsidRPr="000941D1">
              <w:rPr>
                <w:rFonts w:ascii="Times New Roman" w:hAnsi="Times New Roman" w:cs="Times New Roman"/>
              </w:rPr>
              <w:t>Sub-Grantee’s</w:t>
            </w:r>
            <w:r w:rsidRPr="00AA07B7">
              <w:rPr>
                <w:rFonts w:ascii="Times New Roman" w:hAnsi="Times New Roman" w:cs="Times New Roman"/>
              </w:rPr>
              <w:t xml:space="preserve"> employees or individuals for whom those employees are responsible, or as a result of violation of a third party’s rights. For the purpose of this Article 7 employees of the </w:t>
            </w:r>
            <w:r w:rsidRPr="000941D1">
              <w:rPr>
                <w:rFonts w:ascii="Times New Roman" w:hAnsi="Times New Roman" w:cs="Times New Roman"/>
              </w:rPr>
              <w:t xml:space="preserve">Sub-Grantee </w:t>
            </w:r>
            <w:r w:rsidRPr="00AA07B7">
              <w:rPr>
                <w:rFonts w:ascii="Times New Roman" w:hAnsi="Times New Roman" w:cs="Times New Roman"/>
              </w:rPr>
              <w:t>shall be considered third parties.</w:t>
            </w:r>
          </w:p>
        </w:tc>
      </w:tr>
      <w:tr w:rsidR="00495ADE" w:rsidRPr="00717728" w14:paraId="0FAD44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1D4E940D" w14:textId="0C63337D"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16" w:name="_Toc70236975"/>
            <w:r w:rsidRPr="00717728">
              <w:rPr>
                <w:rFonts w:ascii="Times New Roman" w:hAnsi="Times New Roman" w:cs="Times New Roman"/>
                <w:b/>
              </w:rPr>
              <w:t xml:space="preserve">ՀՈԴՎԱԾ 8 – Շահերի բախում </w:t>
            </w:r>
            <w:bookmarkEnd w:id="16"/>
          </w:p>
        </w:tc>
        <w:tc>
          <w:tcPr>
            <w:tcW w:w="333" w:type="dxa"/>
            <w:gridSpan w:val="2"/>
            <w:tcBorders>
              <w:top w:val="nil"/>
              <w:left w:val="nil"/>
              <w:bottom w:val="nil"/>
              <w:right w:val="nil"/>
            </w:tcBorders>
          </w:tcPr>
          <w:p w14:paraId="33B1D1CE" w14:textId="77777777" w:rsidR="00495ADE" w:rsidRPr="00717728" w:rsidRDefault="00495ADE" w:rsidP="00F85D4E">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A92755C" w14:textId="05088A64" w:rsidR="00495ADE" w:rsidRPr="00717728" w:rsidRDefault="00495ADE" w:rsidP="00F85D4E">
            <w:pPr>
              <w:tabs>
                <w:tab w:val="left" w:pos="6237"/>
              </w:tabs>
              <w:spacing w:before="60" w:after="60" w:line="240" w:lineRule="auto"/>
              <w:jc w:val="both"/>
              <w:rPr>
                <w:rFonts w:ascii="Times New Roman" w:hAnsi="Times New Roman" w:cs="Times New Roman"/>
                <w:b/>
              </w:rPr>
            </w:pPr>
            <w:bookmarkStart w:id="17" w:name="_Toc67590175"/>
            <w:r w:rsidRPr="00717728">
              <w:rPr>
                <w:rFonts w:ascii="Times New Roman" w:hAnsi="Times New Roman" w:cs="Times New Roman"/>
                <w:b/>
              </w:rPr>
              <w:t>ARTICLE 8 - Conflict of Interest</w:t>
            </w:r>
            <w:bookmarkEnd w:id="17"/>
            <w:r w:rsidRPr="00717728">
              <w:rPr>
                <w:rFonts w:ascii="Times New Roman" w:hAnsi="Times New Roman" w:cs="Times New Roman"/>
                <w:b/>
              </w:rPr>
              <w:t xml:space="preserve"> </w:t>
            </w:r>
          </w:p>
        </w:tc>
      </w:tr>
      <w:tr w:rsidR="00495ADE" w:rsidRPr="00717728" w14:paraId="67C24EB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537A64A6" w14:textId="4BF5D2C4" w:rsidR="00495ADE" w:rsidRPr="00AA07B7" w:rsidRDefault="00495ADE" w:rsidP="003B3610">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8.1. </w:t>
            </w:r>
            <w:r w:rsidRPr="000941D1">
              <w:rPr>
                <w:rFonts w:ascii="Times New Roman" w:hAnsi="Times New Roman" w:cs="Times New Roman"/>
              </w:rPr>
              <w:t>Ենթադրամաշնորհառունպետք</w:t>
            </w:r>
            <w:r w:rsidRPr="00AA07B7">
              <w:rPr>
                <w:rFonts w:ascii="Times New Roman" w:hAnsi="Times New Roman" w:cs="Times New Roman"/>
              </w:rPr>
              <w:t xml:space="preserve"> է ձեռնարկեն անհրաժեշտ բոլոր միջոցառումները՝ կանխելու կամ դադարեցնելու ցանկացած իրավիճակ, որը կարող է վտանգել Պայմանագրի անկողմնակալ և օբյեկտիվ կատարումը: Նման շահերի բախում կարող է առաջանալ, մասնավորապես, տնտեսական շահի, քաղաքական կամ ազգային փոխկապակցվածության, ընտանեկան կամ </w:t>
            </w:r>
            <w:r w:rsidRPr="000941D1">
              <w:rPr>
                <w:rFonts w:ascii="Times New Roman" w:hAnsi="Times New Roman" w:cs="Times New Roman"/>
              </w:rPr>
              <w:t>զգայական</w:t>
            </w:r>
            <w:r w:rsidRPr="00AA07B7">
              <w:rPr>
                <w:rFonts w:ascii="Times New Roman" w:hAnsi="Times New Roman" w:cs="Times New Roman"/>
              </w:rPr>
              <w:t xml:space="preserve"> կապերի կամ որևէ այլ էական կապի կամ ընդհանուր շահի արդյունքում:</w:t>
            </w:r>
          </w:p>
          <w:p w14:paraId="40170665" w14:textId="25AF6C62" w:rsidR="00495ADE" w:rsidRPr="00AA07B7" w:rsidRDefault="00495ADE" w:rsidP="003B3610">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Շահերի բախումը սահմանված է համաձայն </w:t>
            </w:r>
            <w:r w:rsidRPr="00AA07B7">
              <w:rPr>
                <w:rStyle w:val="jlqj4b"/>
                <w:rFonts w:ascii="Sylfaen" w:hAnsi="Sylfaen" w:cs="Sylfaen"/>
                <w:lang w:val="hy-AM"/>
              </w:rPr>
              <w:t>Եվրամիության</w:t>
            </w:r>
            <w:r w:rsidRPr="00AA07B7">
              <w:rPr>
                <w:rStyle w:val="jlqj4b"/>
                <w:lang w:val="hy-AM"/>
              </w:rPr>
              <w:t xml:space="preserve"> </w:t>
            </w:r>
            <w:r w:rsidRPr="00AA07B7">
              <w:rPr>
                <w:rStyle w:val="jlqj4b"/>
                <w:rFonts w:ascii="Sylfaen" w:hAnsi="Sylfaen" w:cs="Sylfaen"/>
                <w:lang w:val="hy-AM"/>
              </w:rPr>
              <w:t>արտաքին</w:t>
            </w:r>
            <w:r w:rsidRPr="00AA07B7">
              <w:rPr>
                <w:rStyle w:val="jlqj4b"/>
                <w:lang w:val="hy-AM"/>
              </w:rPr>
              <w:t xml:space="preserve"> </w:t>
            </w:r>
            <w:r w:rsidRPr="00AA07B7">
              <w:rPr>
                <w:rStyle w:val="jlqj4b"/>
                <w:rFonts w:ascii="Sylfaen" w:hAnsi="Sylfaen" w:cs="Sylfaen"/>
                <w:lang w:val="hy-AM"/>
              </w:rPr>
              <w:t>գործողությունների</w:t>
            </w:r>
            <w:r w:rsidRPr="00AA07B7">
              <w:rPr>
                <w:rStyle w:val="jlqj4b"/>
                <w:lang w:val="hy-AM"/>
              </w:rPr>
              <w:t xml:space="preserve"> </w:t>
            </w:r>
            <w:r w:rsidRPr="00AA07B7">
              <w:rPr>
                <w:rStyle w:val="jlqj4b"/>
                <w:rFonts w:ascii="Sylfaen" w:hAnsi="Sylfaen" w:cs="Sylfaen"/>
                <w:lang w:val="hy-AM"/>
              </w:rPr>
              <w:t>պայմանագրային</w:t>
            </w:r>
            <w:r w:rsidRPr="00AA07B7">
              <w:rPr>
                <w:rStyle w:val="jlqj4b"/>
                <w:lang w:val="hy-AM"/>
              </w:rPr>
              <w:t xml:space="preserve"> </w:t>
            </w:r>
            <w:r w:rsidRPr="00AA07B7">
              <w:rPr>
                <w:rStyle w:val="jlqj4b"/>
                <w:rFonts w:ascii="Sylfaen" w:hAnsi="Sylfaen" w:cs="Sylfaen"/>
                <w:lang w:val="hy-AM"/>
              </w:rPr>
              <w:t>ընթացակարգերի</w:t>
            </w:r>
            <w:r w:rsidRPr="00AA07B7">
              <w:rPr>
                <w:rStyle w:val="jlqj4b"/>
                <w:lang w:val="hy-AM"/>
              </w:rPr>
              <w:t xml:space="preserve"> </w:t>
            </w:r>
            <w:r w:rsidRPr="00AA07B7">
              <w:rPr>
                <w:rStyle w:val="jlqj4b"/>
                <w:rFonts w:ascii="Sylfaen" w:hAnsi="Sylfaen" w:cs="Sylfaen"/>
                <w:lang w:val="hy-AM"/>
              </w:rPr>
              <w:t>գործնական</w:t>
            </w:r>
            <w:r w:rsidRPr="00AA07B7">
              <w:rPr>
                <w:rStyle w:val="jlqj4b"/>
                <w:lang w:val="hy-AM"/>
              </w:rPr>
              <w:t xml:space="preserve"> </w:t>
            </w:r>
            <w:r w:rsidRPr="00AA07B7">
              <w:rPr>
                <w:rStyle w:val="jlqj4b"/>
                <w:rFonts w:ascii="Sylfaen" w:hAnsi="Sylfaen" w:cs="Sylfaen"/>
                <w:lang w:val="hy-AM"/>
              </w:rPr>
              <w:t>ուղեցույց</w:t>
            </w:r>
            <w:r w:rsidRPr="00AA07B7">
              <w:rPr>
                <w:rStyle w:val="jlqj4b"/>
                <w:lang w:val="hy-AM"/>
              </w:rPr>
              <w:t xml:space="preserve"> (PRAG)</w:t>
            </w:r>
          </w:p>
        </w:tc>
        <w:tc>
          <w:tcPr>
            <w:tcW w:w="333" w:type="dxa"/>
            <w:gridSpan w:val="2"/>
            <w:tcBorders>
              <w:top w:val="nil"/>
              <w:left w:val="nil"/>
              <w:bottom w:val="nil"/>
              <w:right w:val="nil"/>
            </w:tcBorders>
          </w:tcPr>
          <w:p w14:paraId="43095D9E" w14:textId="77777777" w:rsidR="00495ADE" w:rsidRPr="00AA07B7" w:rsidRDefault="00495ADE" w:rsidP="00F85D4E">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089CF4E9" w14:textId="1E8CB442" w:rsidR="00495ADE" w:rsidRPr="00AA07B7" w:rsidRDefault="00495ADE" w:rsidP="00CF5585">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8.1. The </w:t>
            </w:r>
            <w:r w:rsidRPr="000941D1">
              <w:rPr>
                <w:rFonts w:ascii="Times New Roman" w:hAnsi="Times New Roman" w:cs="Times New Roman"/>
              </w:rPr>
              <w:t xml:space="preserve">Sub-Grantee </w:t>
            </w:r>
            <w:r w:rsidRPr="00AA07B7">
              <w:rPr>
                <w:rFonts w:ascii="Times New Roman" w:hAnsi="Times New Roman" w:cs="Times New Roman"/>
              </w:rPr>
              <w:t>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w:t>
            </w:r>
          </w:p>
          <w:p w14:paraId="4E5D2E34" w14:textId="7309C69E" w:rsidR="00495ADE" w:rsidRPr="00AA07B7" w:rsidRDefault="00495ADE" w:rsidP="00CF5585">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The conflict of interests is defined in accordance with the practical guide on </w:t>
            </w:r>
            <w:r w:rsidRPr="00AA07B7">
              <w:rPr>
                <w:rFonts w:ascii="Times New Roman" w:hAnsi="Times New Roman" w:cs="Times New Roman"/>
              </w:rPr>
              <w:lastRenderedPageBreak/>
              <w:t>contr</w:t>
            </w:r>
            <w:r w:rsidR="00CF5585" w:rsidRPr="00AA07B7">
              <w:rPr>
                <w:rFonts w:ascii="Times New Roman" w:hAnsi="Times New Roman" w:cs="Times New Roman"/>
              </w:rPr>
              <w:t>a</w:t>
            </w:r>
            <w:r w:rsidRPr="00AA07B7">
              <w:rPr>
                <w:rFonts w:ascii="Times New Roman" w:hAnsi="Times New Roman" w:cs="Times New Roman"/>
              </w:rPr>
              <w:t>ct procedures for European Union external action (PRAG)</w:t>
            </w:r>
          </w:p>
        </w:tc>
      </w:tr>
      <w:tr w:rsidR="00495ADE" w:rsidRPr="00717728" w14:paraId="6317578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F9AB097" w14:textId="23EFF0B3" w:rsidR="00495ADE" w:rsidRPr="00717728" w:rsidRDefault="00495ADE" w:rsidP="00FA42E9">
            <w:pPr>
              <w:pStyle w:val="Default"/>
              <w:spacing w:after="120" w:line="259" w:lineRule="auto"/>
              <w:contextualSpacing/>
              <w:jc w:val="both"/>
              <w:rPr>
                <w:rFonts w:ascii="Times New Roman" w:hAnsi="Times New Roman" w:cs="Times New Roman"/>
                <w:sz w:val="22"/>
                <w:szCs w:val="22"/>
              </w:rPr>
            </w:pPr>
            <w:r w:rsidRPr="00717728">
              <w:rPr>
                <w:rFonts w:ascii="Times New Roman" w:hAnsi="Times New Roman" w:cs="Times New Roman"/>
                <w:sz w:val="22"/>
                <w:szCs w:val="22"/>
              </w:rPr>
              <w:lastRenderedPageBreak/>
              <w:t xml:space="preserve">8.2. Շահերի բախման ցանկացած դեպքի մասին, որը կարող է առաջանալ </w:t>
            </w:r>
            <w:r>
              <w:rPr>
                <w:rFonts w:ascii="Times New Roman" w:hAnsi="Times New Roman" w:cs="Times New Roman"/>
                <w:sz w:val="22"/>
                <w:szCs w:val="22"/>
              </w:rPr>
              <w:t>Պ</w:t>
            </w:r>
            <w:r w:rsidRPr="00717728">
              <w:rPr>
                <w:rFonts w:ascii="Times New Roman" w:hAnsi="Times New Roman" w:cs="Times New Roman"/>
                <w:sz w:val="22"/>
                <w:szCs w:val="22"/>
              </w:rPr>
              <w:t xml:space="preserve">այմանագրի կատարման ընթացքում, պետք է անհապաղ գրավոր կերպով տեղեկացնի </w:t>
            </w:r>
            <w:r>
              <w:rPr>
                <w:rFonts w:ascii="Times New Roman" w:hAnsi="Times New Roman" w:cs="Times New Roman"/>
                <w:sz w:val="22"/>
                <w:szCs w:val="22"/>
              </w:rPr>
              <w:t>Ենթադրամաշնորհատ</w:t>
            </w:r>
            <w:r w:rsidRPr="00717728">
              <w:rPr>
                <w:rFonts w:ascii="Times New Roman" w:hAnsi="Times New Roman" w:cs="Times New Roman"/>
                <w:sz w:val="22"/>
                <w:szCs w:val="22"/>
              </w:rPr>
              <w:t xml:space="preserve">ուին: Նման բախման դեպքում Ենթադրամաշնորհառուն պետք է անհապաղ ձեռնարկի անհրաժեշտ բոլոր միջոցներ՝ այն լուծելու համար: </w:t>
            </w:r>
          </w:p>
        </w:tc>
        <w:tc>
          <w:tcPr>
            <w:tcW w:w="333" w:type="dxa"/>
            <w:gridSpan w:val="2"/>
            <w:tcBorders>
              <w:top w:val="nil"/>
              <w:left w:val="nil"/>
              <w:bottom w:val="nil"/>
              <w:right w:val="nil"/>
            </w:tcBorders>
          </w:tcPr>
          <w:p w14:paraId="50AA79E0" w14:textId="77777777" w:rsidR="00495ADE" w:rsidRPr="00717728" w:rsidRDefault="00495ADE" w:rsidP="00FA42E9">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C758260" w14:textId="5959449F" w:rsidR="00495ADE" w:rsidRPr="00717728" w:rsidRDefault="00495ADE" w:rsidP="00FA42E9">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8.2. Any conflict of interests which may arise during performance of this Contract must be notified in writing to the </w:t>
            </w:r>
            <w:r>
              <w:rPr>
                <w:rFonts w:ascii="Times New Roman" w:hAnsi="Times New Roman" w:cs="Times New Roman"/>
              </w:rPr>
              <w:t>Sub-grantor</w:t>
            </w:r>
            <w:r w:rsidRPr="00717728">
              <w:rPr>
                <w:rFonts w:ascii="Times New Roman" w:hAnsi="Times New Roman" w:cs="Times New Roman"/>
              </w:rPr>
              <w:t xml:space="preserve"> without delay. In the event of such conflict, the Sub-Grantee shall immediately take all necessary steps to resolve it.</w:t>
            </w:r>
          </w:p>
        </w:tc>
      </w:tr>
      <w:tr w:rsidR="00495ADE" w:rsidRPr="00717728" w14:paraId="3746205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C99B783" w14:textId="19041E4C" w:rsidR="00495ADE" w:rsidRPr="000941D1" w:rsidRDefault="00495ADE" w:rsidP="00FA42E9">
            <w:pPr>
              <w:pStyle w:val="Default"/>
              <w:spacing w:line="259" w:lineRule="auto"/>
              <w:contextualSpacing/>
              <w:rPr>
                <w:rFonts w:ascii="Times New Roman" w:hAnsi="Times New Roman" w:cs="Times New Roman"/>
                <w:color w:val="auto"/>
                <w:sz w:val="22"/>
                <w:szCs w:val="22"/>
              </w:rPr>
            </w:pPr>
            <w:r w:rsidRPr="000941D1">
              <w:rPr>
                <w:rFonts w:ascii="Times New Roman" w:hAnsi="Times New Roman" w:cs="Times New Roman"/>
                <w:color w:val="auto"/>
                <w:sz w:val="22"/>
                <w:szCs w:val="22"/>
              </w:rPr>
              <w:t xml:space="preserve">8.3. Ենթադրամաշնորհատուն իրեն իրավունք է վերապահում ստուգելու ձեռնարկված միջոցների պատշաճ լինելը և անհրաժեշտության դեպքում կարող է պահանջել ձեռնարկել լրացուցիչ միջոցներ: </w:t>
            </w:r>
          </w:p>
          <w:p w14:paraId="7792B7A1" w14:textId="5A2191E7" w:rsidR="00495ADE" w:rsidRPr="00AA07B7" w:rsidRDefault="00495ADE" w:rsidP="009727A6">
            <w:pPr>
              <w:tabs>
                <w:tab w:val="left" w:pos="6237"/>
              </w:tabs>
              <w:spacing w:before="60" w:after="60" w:line="240" w:lineRule="auto"/>
              <w:jc w:val="both"/>
              <w:rPr>
                <w:rFonts w:ascii="Times New Roman" w:hAnsi="Times New Roman" w:cs="Times New Roman"/>
              </w:rPr>
            </w:pPr>
          </w:p>
        </w:tc>
        <w:tc>
          <w:tcPr>
            <w:tcW w:w="333" w:type="dxa"/>
            <w:gridSpan w:val="2"/>
            <w:tcBorders>
              <w:top w:val="nil"/>
              <w:left w:val="nil"/>
              <w:bottom w:val="nil"/>
              <w:right w:val="nil"/>
            </w:tcBorders>
          </w:tcPr>
          <w:p w14:paraId="5AADE55D" w14:textId="77777777" w:rsidR="00495ADE" w:rsidRPr="00AA07B7" w:rsidRDefault="00495ADE" w:rsidP="00F85D4E">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529B9F96" w14:textId="371278B7" w:rsidR="00495ADE" w:rsidRPr="00AA07B7" w:rsidRDefault="00495ADE" w:rsidP="007049C5">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8.3. The Sub-grantor reserves the right to verify that the measures taken are appropriate and may require additional measures to be taken if necessary.</w:t>
            </w:r>
          </w:p>
        </w:tc>
      </w:tr>
      <w:tr w:rsidR="00495ADE" w:rsidRPr="00717728" w14:paraId="6CB640A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974FB30" w14:textId="2F2538B9" w:rsidR="00495ADE" w:rsidRPr="00AA07B7" w:rsidRDefault="00495ADE" w:rsidP="009727A6">
            <w:pPr>
              <w:spacing w:after="120" w:line="259" w:lineRule="auto"/>
              <w:contextualSpacing/>
              <w:jc w:val="both"/>
              <w:rPr>
                <w:rFonts w:ascii="Times New Roman" w:hAnsi="Times New Roman" w:cs="Times New Roman"/>
              </w:rPr>
            </w:pPr>
            <w:r w:rsidRPr="00AA07B7">
              <w:rPr>
                <w:rFonts w:ascii="Times New Roman" w:hAnsi="Times New Roman" w:cs="Times New Roman"/>
              </w:rPr>
              <w:t xml:space="preserve">8.4. </w:t>
            </w:r>
            <w:r w:rsidRPr="000941D1">
              <w:rPr>
                <w:rFonts w:ascii="Times New Roman" w:hAnsi="Times New Roman" w:cs="Times New Roman"/>
              </w:rPr>
              <w:t>Ենթադրամաշնորհառուն</w:t>
            </w:r>
            <w:r w:rsidRPr="00AA07B7">
              <w:rPr>
                <w:rFonts w:ascii="Times New Roman" w:hAnsi="Times New Roman" w:cs="Times New Roman"/>
              </w:rPr>
              <w:t xml:space="preserve"> է ապահովեն, որ իրենց անձնակազմը, ներառյալ ղեկավար կազմը, չեն գտնվում այնպիսի իրավիճակում, որը կարող է առաջացնել շահերի բախում: Նման իրավիճակում </w:t>
            </w:r>
            <w:r w:rsidRPr="000941D1">
              <w:rPr>
                <w:rFonts w:ascii="Times New Roman" w:hAnsi="Times New Roman" w:cs="Times New Roman"/>
              </w:rPr>
              <w:t xml:space="preserve">Ենթադրամաշնորհառուն </w:t>
            </w:r>
            <w:r w:rsidRPr="000941D1">
              <w:rPr>
                <w:rFonts w:ascii="Times New Roman" w:hAnsi="Times New Roman" w:cs="Times New Roman"/>
                <w:b/>
              </w:rPr>
              <w:t xml:space="preserve">/ </w:t>
            </w:r>
            <w:r w:rsidRPr="00AA07B7">
              <w:rPr>
                <w:rFonts w:ascii="Times New Roman" w:hAnsi="Times New Roman" w:cs="Times New Roman"/>
              </w:rPr>
              <w:t>չխախտելով Պայմանագրով նախատեսված իրենց պարտավորությունները, պետք է</w:t>
            </w:r>
            <w:r w:rsidRPr="000941D1">
              <w:rPr>
                <w:rFonts w:ascii="Times New Roman" w:hAnsi="Times New Roman" w:cs="Times New Roman"/>
                <w:b/>
              </w:rPr>
              <w:t xml:space="preserve"> </w:t>
            </w:r>
            <w:r w:rsidRPr="00AA07B7">
              <w:rPr>
                <w:rFonts w:ascii="Times New Roman" w:hAnsi="Times New Roman" w:cs="Times New Roman"/>
              </w:rPr>
              <w:t xml:space="preserve">անմիջապես և առանց Ենթադրամաշնորհատուի կողմից փոխհատուցման փոխարինեն իրենց անձնակազմի ցանկացած անդամի:  </w:t>
            </w:r>
          </w:p>
          <w:p w14:paraId="3EFD3DFC" w14:textId="634DBC3E" w:rsidR="00495ADE" w:rsidRPr="00AA07B7" w:rsidRDefault="00495ADE" w:rsidP="009727A6">
            <w:pPr>
              <w:tabs>
                <w:tab w:val="left" w:pos="6237"/>
              </w:tabs>
              <w:spacing w:before="60" w:after="60" w:line="240" w:lineRule="auto"/>
              <w:rPr>
                <w:rFonts w:ascii="Times New Roman" w:hAnsi="Times New Roman" w:cs="Times New Roman"/>
              </w:rPr>
            </w:pPr>
          </w:p>
        </w:tc>
        <w:tc>
          <w:tcPr>
            <w:tcW w:w="333" w:type="dxa"/>
            <w:gridSpan w:val="2"/>
            <w:tcBorders>
              <w:top w:val="nil"/>
              <w:left w:val="nil"/>
              <w:bottom w:val="nil"/>
              <w:right w:val="nil"/>
            </w:tcBorders>
          </w:tcPr>
          <w:p w14:paraId="5C8386FA" w14:textId="77777777" w:rsidR="00495ADE" w:rsidRPr="00AA07B7" w:rsidRDefault="00495ADE" w:rsidP="00E609C8">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143FC005" w14:textId="605F76C2" w:rsidR="00495ADE" w:rsidRPr="00AA07B7" w:rsidRDefault="00495ADE" w:rsidP="00E609C8">
            <w:pPr>
              <w:tabs>
                <w:tab w:val="left" w:pos="6237"/>
              </w:tabs>
              <w:spacing w:before="60" w:after="60" w:line="240" w:lineRule="auto"/>
              <w:rPr>
                <w:rFonts w:ascii="Times New Roman" w:hAnsi="Times New Roman" w:cs="Times New Roman"/>
              </w:rPr>
            </w:pPr>
            <w:r w:rsidRPr="00AA07B7">
              <w:rPr>
                <w:rFonts w:ascii="Times New Roman" w:hAnsi="Times New Roman" w:cs="Times New Roman"/>
              </w:rPr>
              <w:t xml:space="preserve">8.4. The </w:t>
            </w:r>
            <w:r w:rsidRPr="000941D1">
              <w:rPr>
                <w:rFonts w:ascii="Times New Roman" w:hAnsi="Times New Roman" w:cs="Times New Roman"/>
              </w:rPr>
              <w:t xml:space="preserve">Sub-Grantee </w:t>
            </w:r>
            <w:r w:rsidRPr="00AA07B7">
              <w:rPr>
                <w:rFonts w:ascii="Times New Roman" w:hAnsi="Times New Roman" w:cs="Times New Roman"/>
              </w:rPr>
              <w:t xml:space="preserve">shall ensure that </w:t>
            </w:r>
            <w:r w:rsidRPr="000941D1">
              <w:rPr>
                <w:rFonts w:ascii="Times New Roman" w:hAnsi="Times New Roman" w:cs="Times New Roman"/>
              </w:rPr>
              <w:t xml:space="preserve">its </w:t>
            </w:r>
            <w:r w:rsidRPr="00AA07B7">
              <w:rPr>
                <w:rFonts w:ascii="Times New Roman" w:hAnsi="Times New Roman" w:cs="Times New Roman"/>
              </w:rPr>
              <w:t xml:space="preserve">staff, including management, is not placed in a situation which could give rise to conflict of interests. Without prejudice to its obligations under this Contract, the </w:t>
            </w:r>
            <w:r w:rsidRPr="000941D1">
              <w:rPr>
                <w:rFonts w:ascii="Times New Roman" w:hAnsi="Times New Roman" w:cs="Times New Roman"/>
              </w:rPr>
              <w:t xml:space="preserve">Sub-Grantee </w:t>
            </w:r>
            <w:r w:rsidRPr="00AA07B7">
              <w:rPr>
                <w:rFonts w:ascii="Times New Roman" w:hAnsi="Times New Roman" w:cs="Times New Roman"/>
              </w:rPr>
              <w:t>shall replace, immediately and without compensation from the Sub-grantor, any member of its staff in such a situation.</w:t>
            </w:r>
          </w:p>
        </w:tc>
      </w:tr>
      <w:tr w:rsidR="00495ADE" w:rsidRPr="00717728" w14:paraId="2EDAC85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49E14B5B" w14:textId="18A26AEB" w:rsidR="00495ADE" w:rsidRPr="00AA07B7" w:rsidRDefault="00495ADE" w:rsidP="009727A6">
            <w:pPr>
              <w:tabs>
                <w:tab w:val="left" w:pos="6237"/>
              </w:tabs>
              <w:spacing w:before="60" w:after="60" w:line="240" w:lineRule="auto"/>
              <w:jc w:val="both"/>
              <w:rPr>
                <w:rFonts w:ascii="Times New Roman" w:hAnsi="Times New Roman" w:cs="Times New Roman"/>
                <w:b/>
              </w:rPr>
            </w:pPr>
            <w:bookmarkStart w:id="18" w:name="_Toc70236976"/>
            <w:r w:rsidRPr="00AA07B7">
              <w:rPr>
                <w:rFonts w:ascii="Times New Roman" w:hAnsi="Times New Roman" w:cs="Times New Roman"/>
                <w:b/>
              </w:rPr>
              <w:t xml:space="preserve">ՀՈԴՎԱԾ 9 - Տեսանելիություն </w:t>
            </w:r>
            <w:bookmarkEnd w:id="18"/>
          </w:p>
        </w:tc>
        <w:tc>
          <w:tcPr>
            <w:tcW w:w="333" w:type="dxa"/>
            <w:gridSpan w:val="2"/>
            <w:tcBorders>
              <w:top w:val="nil"/>
              <w:left w:val="nil"/>
              <w:bottom w:val="nil"/>
              <w:right w:val="nil"/>
            </w:tcBorders>
          </w:tcPr>
          <w:p w14:paraId="2F08E255" w14:textId="77777777" w:rsidR="00495ADE" w:rsidRPr="00AA07B7" w:rsidRDefault="00495ADE" w:rsidP="00F85D4E">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314C51D" w14:textId="3CDE1643" w:rsidR="00495ADE" w:rsidRPr="00AA07B7" w:rsidRDefault="00495ADE" w:rsidP="00F85D4E">
            <w:pPr>
              <w:tabs>
                <w:tab w:val="left" w:pos="6237"/>
              </w:tabs>
              <w:spacing w:before="60" w:after="60" w:line="240" w:lineRule="auto"/>
              <w:jc w:val="both"/>
              <w:rPr>
                <w:rFonts w:ascii="Times New Roman" w:hAnsi="Times New Roman" w:cs="Times New Roman"/>
                <w:b/>
              </w:rPr>
            </w:pPr>
            <w:bookmarkStart w:id="19" w:name="_Toc67590176"/>
            <w:r w:rsidRPr="00AA07B7">
              <w:rPr>
                <w:rFonts w:ascii="Times New Roman" w:hAnsi="Times New Roman" w:cs="Times New Roman"/>
                <w:b/>
              </w:rPr>
              <w:t>ARTICLE 9 - Visibility</w:t>
            </w:r>
            <w:bookmarkEnd w:id="19"/>
          </w:p>
        </w:tc>
      </w:tr>
      <w:tr w:rsidR="00495ADE" w:rsidRPr="00717728" w14:paraId="3E8074E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C65AC9C" w14:textId="42A0F823" w:rsidR="00495ADE" w:rsidRPr="00AA07B7" w:rsidRDefault="00495ADE" w:rsidP="009727A6">
            <w:pPr>
              <w:pStyle w:val="Default"/>
              <w:spacing w:after="120" w:line="259" w:lineRule="auto"/>
              <w:contextualSpacing/>
              <w:jc w:val="both"/>
              <w:rPr>
                <w:rFonts w:ascii="Times New Roman" w:hAnsi="Times New Roman" w:cs="Times New Roman"/>
                <w:color w:val="auto"/>
                <w:sz w:val="22"/>
                <w:szCs w:val="22"/>
              </w:rPr>
            </w:pPr>
            <w:r w:rsidRPr="00AA07B7">
              <w:rPr>
                <w:rFonts w:ascii="Times New Roman" w:hAnsi="Times New Roman" w:cs="Times New Roman"/>
                <w:color w:val="auto"/>
                <w:sz w:val="22"/>
                <w:szCs w:val="22"/>
              </w:rPr>
              <w:t xml:space="preserve">9.1 </w:t>
            </w:r>
            <w:r w:rsidRPr="000941D1">
              <w:rPr>
                <w:rFonts w:ascii="Times New Roman" w:hAnsi="Times New Roman" w:cs="Times New Roman"/>
                <w:color w:val="auto"/>
                <w:sz w:val="22"/>
                <w:szCs w:val="22"/>
              </w:rPr>
              <w:t>Ենթադրամաշնորհառուն</w:t>
            </w:r>
            <w:r w:rsidRPr="00AA07B7">
              <w:rPr>
                <w:rFonts w:ascii="Times New Roman" w:hAnsi="Times New Roman" w:cs="Times New Roman"/>
                <w:color w:val="auto"/>
                <w:sz w:val="22"/>
                <w:szCs w:val="22"/>
              </w:rPr>
              <w:t xml:space="preserve">պետք է ձեռնարկեն անհրաժեշտ բոլոր միջոցները՝ հրապարակելու այն, որ Գործողությունը ֆինանսավորվել կամ համաֆինանսավորվել է Եվրոպական Միության կողմից: Այդ միջոցները պետք է համապատասխանեն Եվրոպական Միության արտաքին գործողությունների համար հաղորդակցության և տեսանելիության պահանջներին, որոնք սահմանվել և հրապարակվել են Եվրահանձնաժողովի կողմից և հասանելի են հետևյալ հղումող՝ </w:t>
            </w:r>
          </w:p>
          <w:p w14:paraId="508A7EF1" w14:textId="239BB10B" w:rsidR="00495ADE" w:rsidRPr="00AA07B7" w:rsidRDefault="00E31CE9" w:rsidP="009727A6">
            <w:pPr>
              <w:tabs>
                <w:tab w:val="left" w:pos="6237"/>
              </w:tabs>
              <w:spacing w:before="60" w:after="60" w:line="240" w:lineRule="auto"/>
              <w:jc w:val="both"/>
              <w:rPr>
                <w:rFonts w:ascii="Times New Roman" w:hAnsi="Times New Roman" w:cs="Times New Roman"/>
              </w:rPr>
            </w:pPr>
            <w:hyperlink r:id="rId12" w:history="1">
              <w:r w:rsidR="00495ADE" w:rsidRPr="000941D1">
                <w:rPr>
                  <w:rStyle w:val="Hyperlink"/>
                  <w:rFonts w:ascii="Times New Roman" w:hAnsi="Times New Roman" w:cs="Times New Roman"/>
                  <w:color w:val="auto"/>
                </w:rPr>
                <w:t>https://ec.europa.eu/neighbourhood-enlargement/sites/near/files/visibility_requirements-near_english.pdf</w:t>
              </w:r>
            </w:hyperlink>
            <w:r w:rsidR="00495ADE" w:rsidRPr="00AA07B7">
              <w:rPr>
                <w:rFonts w:ascii="Times New Roman" w:hAnsi="Times New Roman" w:cs="Times New Roman"/>
              </w:rPr>
              <w:t xml:space="preserve"> կամ Եվրահանձնաժողովի ցանկացած այլ ուղեցույցներին:</w:t>
            </w:r>
          </w:p>
        </w:tc>
        <w:tc>
          <w:tcPr>
            <w:tcW w:w="333" w:type="dxa"/>
            <w:gridSpan w:val="2"/>
            <w:tcBorders>
              <w:top w:val="nil"/>
              <w:left w:val="nil"/>
              <w:bottom w:val="nil"/>
              <w:right w:val="nil"/>
            </w:tcBorders>
          </w:tcPr>
          <w:p w14:paraId="55A8ECC5" w14:textId="77777777" w:rsidR="00495ADE" w:rsidRPr="00AA07B7" w:rsidRDefault="00495ADE" w:rsidP="00F85D4E">
            <w:pPr>
              <w:pStyle w:val="Default"/>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3AEAA606" w14:textId="4FF626CD" w:rsidR="00495ADE" w:rsidRPr="00AA07B7" w:rsidRDefault="00495ADE" w:rsidP="00F85D4E">
            <w:pPr>
              <w:pStyle w:val="Default"/>
              <w:spacing w:after="120" w:line="259" w:lineRule="auto"/>
              <w:contextualSpacing/>
              <w:jc w:val="both"/>
              <w:rPr>
                <w:rFonts w:ascii="Times New Roman" w:hAnsi="Times New Roman" w:cs="Times New Roman"/>
                <w:color w:val="auto"/>
                <w:sz w:val="22"/>
                <w:szCs w:val="22"/>
              </w:rPr>
            </w:pPr>
            <w:r w:rsidRPr="00AA07B7">
              <w:rPr>
                <w:rFonts w:ascii="Times New Roman" w:hAnsi="Times New Roman" w:cs="Times New Roman"/>
                <w:color w:val="auto"/>
                <w:sz w:val="22"/>
                <w:szCs w:val="22"/>
              </w:rPr>
              <w:t xml:space="preserve">9.1 The </w:t>
            </w:r>
            <w:r w:rsidRPr="000941D1">
              <w:rPr>
                <w:rFonts w:ascii="Times New Roman" w:hAnsi="Times New Roman" w:cs="Times New Roman"/>
                <w:bCs/>
                <w:color w:val="auto"/>
                <w:sz w:val="22"/>
                <w:szCs w:val="22"/>
              </w:rPr>
              <w:t xml:space="preserve">Sub-Grantee </w:t>
            </w:r>
            <w:r w:rsidRPr="00AA07B7">
              <w:rPr>
                <w:rFonts w:ascii="Times New Roman" w:hAnsi="Times New Roman" w:cs="Times New Roman"/>
                <w:color w:val="auto"/>
                <w:sz w:val="22"/>
                <w:szCs w:val="22"/>
              </w:rPr>
              <w:t>shall take all necessary steps to publicise the fact that the European Union has co-financed the action. Such measures shall comply with the Communication and Visibility Requirements for European Union External Actions laid down and published by the European Commission and/or the Sub-Grantor that can be found at the following address:</w:t>
            </w:r>
          </w:p>
          <w:p w14:paraId="6C34BE96" w14:textId="5812AF96" w:rsidR="00495ADE" w:rsidRPr="00AA07B7" w:rsidRDefault="00E31CE9" w:rsidP="00F85D4E">
            <w:pPr>
              <w:tabs>
                <w:tab w:val="left" w:pos="6237"/>
              </w:tabs>
              <w:spacing w:before="60" w:after="60" w:line="240" w:lineRule="auto"/>
              <w:rPr>
                <w:rFonts w:ascii="Times New Roman" w:hAnsi="Times New Roman" w:cs="Times New Roman"/>
              </w:rPr>
            </w:pPr>
            <w:hyperlink r:id="rId13" w:history="1">
              <w:r w:rsidR="00495ADE" w:rsidRPr="000941D1">
                <w:rPr>
                  <w:rStyle w:val="Hyperlink"/>
                  <w:rFonts w:ascii="Times New Roman" w:hAnsi="Times New Roman" w:cs="Times New Roman"/>
                  <w:color w:val="auto"/>
                </w:rPr>
                <w:t>https://ec.europa.eu/neighbourhood-enlargement/sites/near/files/visibility_requirements-near_english.pdf</w:t>
              </w:r>
            </w:hyperlink>
            <w:r w:rsidR="00495ADE" w:rsidRPr="00AA07B7">
              <w:rPr>
                <w:rFonts w:ascii="Times New Roman" w:hAnsi="Times New Roman" w:cs="Times New Roman"/>
              </w:rPr>
              <w:t xml:space="preserve"> or with any other guidelines issued by European Commission.</w:t>
            </w:r>
          </w:p>
        </w:tc>
      </w:tr>
      <w:tr w:rsidR="00495ADE" w:rsidRPr="00717728" w14:paraId="0791773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1ABF5B02" w14:textId="2FA5D098" w:rsidR="00495ADE" w:rsidRPr="00AA07B7" w:rsidRDefault="00495ADE" w:rsidP="000400BA">
            <w:pPr>
              <w:tabs>
                <w:tab w:val="left" w:pos="6237"/>
              </w:tabs>
              <w:spacing w:before="60" w:after="60" w:line="240" w:lineRule="auto"/>
              <w:jc w:val="both"/>
              <w:rPr>
                <w:rFonts w:ascii="Times New Roman" w:hAnsi="Times New Roman" w:cs="Times New Roman"/>
              </w:rPr>
            </w:pPr>
            <w:r w:rsidRPr="00AA07B7">
              <w:rPr>
                <w:rFonts w:ascii="Times New Roman" w:eastAsia="Times New Roman" w:hAnsi="Times New Roman" w:cs="Times New Roman"/>
                <w:lang w:val="en-GB"/>
              </w:rPr>
              <w:t xml:space="preserve">9.2. Մասնավորապես, </w:t>
            </w:r>
            <w:r w:rsidRPr="000941D1">
              <w:rPr>
                <w:rFonts w:ascii="Times New Roman" w:eastAsia="Times New Roman" w:hAnsi="Times New Roman" w:cs="Times New Roman"/>
                <w:lang w:val="en-GB"/>
              </w:rPr>
              <w:t>Ենթադրամաշնորհառուն</w:t>
            </w:r>
            <w:r w:rsidRPr="00AA07B7">
              <w:rPr>
                <w:rFonts w:ascii="Times New Roman" w:eastAsia="Times New Roman" w:hAnsi="Times New Roman" w:cs="Times New Roman"/>
                <w:lang w:val="en-GB"/>
              </w:rPr>
              <w:t>գործողության վերջնական ստացողներին տրամադրվող տեղեկատվության մեջ, իրենց ներքին և տարեկան հաշվետվություններում և լրատվամիջոցների հետ ցանկացած հարաբերության ընթացքում պետք է նշեն Գործողության և Եվրոպական Միության ֆինանսական աջակցության մասին: Եվրոպական Միության տարբերանշանը պետք է ցուցադրվի՝ ըստ կիրառելիության:</w:t>
            </w:r>
          </w:p>
        </w:tc>
        <w:tc>
          <w:tcPr>
            <w:tcW w:w="333" w:type="dxa"/>
            <w:gridSpan w:val="2"/>
            <w:tcBorders>
              <w:top w:val="nil"/>
              <w:left w:val="nil"/>
              <w:bottom w:val="nil"/>
              <w:right w:val="nil"/>
            </w:tcBorders>
          </w:tcPr>
          <w:p w14:paraId="53973DFE" w14:textId="77777777" w:rsidR="00495ADE" w:rsidRPr="00AA07B7" w:rsidRDefault="00495ADE" w:rsidP="006B1803">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A130AC8" w14:textId="43E0870B" w:rsidR="00495ADE" w:rsidRPr="00AA07B7" w:rsidRDefault="00495ADE" w:rsidP="006B1803">
            <w:pPr>
              <w:tabs>
                <w:tab w:val="left" w:pos="6237"/>
              </w:tabs>
              <w:spacing w:before="60" w:after="60" w:line="240" w:lineRule="auto"/>
              <w:jc w:val="both"/>
              <w:rPr>
                <w:rFonts w:ascii="Times New Roman" w:hAnsi="Times New Roman" w:cs="Times New Roman"/>
                <w:b/>
              </w:rPr>
            </w:pPr>
            <w:r w:rsidRPr="00AA07B7">
              <w:rPr>
                <w:rFonts w:ascii="Times New Roman" w:hAnsi="Times New Roman" w:cs="Times New Roman"/>
              </w:rPr>
              <w:t xml:space="preserve">9.2. In particular, the </w:t>
            </w:r>
            <w:r w:rsidRPr="000941D1">
              <w:rPr>
                <w:rFonts w:ascii="Times New Roman" w:hAnsi="Times New Roman" w:cs="Times New Roman"/>
                <w:bCs/>
              </w:rPr>
              <w:t>Sub-Grantee</w:t>
            </w:r>
            <w:r w:rsidRPr="000941D1">
              <w:rPr>
                <w:rFonts w:ascii="Times New Roman" w:hAnsi="Times New Roman" w:cs="Times New Roman"/>
                <w:b/>
              </w:rPr>
              <w:t xml:space="preserve"> </w:t>
            </w:r>
            <w:r w:rsidRPr="00AA07B7">
              <w:rPr>
                <w:rFonts w:ascii="Times New Roman" w:hAnsi="Times New Roman" w:cs="Times New Roman"/>
              </w:rPr>
              <w:t>shall mention the Action and the European Union's financial contribution in information given to the final recipients of the action, in its internal and annual reports, and in any dealings with the media. It shall display the European Union logo wherever appropriate.</w:t>
            </w:r>
          </w:p>
        </w:tc>
      </w:tr>
      <w:tr w:rsidR="00495ADE" w:rsidRPr="00717728" w14:paraId="7C935E9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CDB08DE" w14:textId="66772CAF" w:rsidR="00495ADE" w:rsidRPr="00717728" w:rsidRDefault="00495ADE" w:rsidP="009727A6">
            <w:pPr>
              <w:pStyle w:val="Default"/>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9.3. </w:t>
            </w:r>
            <w:r w:rsidRPr="000941D1">
              <w:rPr>
                <w:rFonts w:ascii="Times New Roman" w:hAnsi="Times New Roman" w:cs="Times New Roman"/>
                <w:color w:val="auto"/>
                <w:sz w:val="22"/>
                <w:szCs w:val="22"/>
              </w:rPr>
              <w:t>Ենթադրամաշնորհառուի</w:t>
            </w:r>
            <w:r w:rsidRPr="00AA07B7">
              <w:rPr>
                <w:rFonts w:ascii="Times New Roman" w:hAnsi="Times New Roman" w:cs="Times New Roman"/>
                <w:color w:val="auto"/>
                <w:sz w:val="22"/>
                <w:szCs w:val="22"/>
              </w:rPr>
              <w:t xml:space="preserve">կողմից Գործողությանն առնչվող ցանկացած ծանուցում կամ հրապարակում, ներառյալ համաժողովների կամ սեմինարների ընթացքում </w:t>
            </w:r>
            <w:r w:rsidRPr="00AA07B7">
              <w:rPr>
                <w:rFonts w:ascii="Times New Roman" w:hAnsi="Times New Roman" w:cs="Times New Roman"/>
                <w:color w:val="auto"/>
                <w:sz w:val="22"/>
                <w:szCs w:val="22"/>
              </w:rPr>
              <w:lastRenderedPageBreak/>
              <w:t xml:space="preserve">տրամադրվածները, պետք է պարունակեն նշում առ այն, որ Գործողությունը ֆինանսավորվում է Եվրոպական Միության կողմից: </w:t>
            </w:r>
            <w:r w:rsidRPr="000941D1">
              <w:rPr>
                <w:rFonts w:ascii="Times New Roman" w:hAnsi="Times New Roman" w:cs="Times New Roman"/>
                <w:color w:val="auto"/>
                <w:sz w:val="22"/>
                <w:szCs w:val="22"/>
              </w:rPr>
              <w:t>Ենթադրամաշնորհառուի</w:t>
            </w:r>
            <w:r w:rsidRPr="00AA07B7">
              <w:rPr>
                <w:rFonts w:ascii="Times New Roman" w:hAnsi="Times New Roman" w:cs="Times New Roman"/>
                <w:color w:val="auto"/>
                <w:sz w:val="22"/>
                <w:szCs w:val="22"/>
              </w:rPr>
              <w:t xml:space="preserve">կողմից </w:t>
            </w:r>
            <w:r w:rsidRPr="00717728">
              <w:rPr>
                <w:rFonts w:ascii="Times New Roman" w:hAnsi="Times New Roman" w:cs="Times New Roman"/>
                <w:color w:val="auto"/>
                <w:sz w:val="22"/>
                <w:szCs w:val="22"/>
              </w:rPr>
              <w:t xml:space="preserve">ցանկացած տեսքով և եղանակով, ներառյալ համացանցով արված ցանկացած հրապարակում պետք է պարունակի հետևյալ </w:t>
            </w:r>
            <w:r>
              <w:rPr>
                <w:rFonts w:ascii="Times New Roman" w:hAnsi="Times New Roman" w:cs="Times New Roman"/>
                <w:color w:val="auto"/>
                <w:sz w:val="22"/>
                <w:szCs w:val="22"/>
              </w:rPr>
              <w:t>նշումը</w:t>
            </w:r>
            <w:r w:rsidRPr="00717728">
              <w:rPr>
                <w:rFonts w:ascii="Times New Roman" w:hAnsi="Times New Roman" w:cs="Times New Roman"/>
                <w:color w:val="auto"/>
                <w:sz w:val="22"/>
                <w:szCs w:val="22"/>
              </w:rPr>
              <w:t xml:space="preserve">՝ «Սույն փաստաթուղթը կազմվել է Եվրոպական Միության ֆինանսական աջակցությամբ: Սույն փաստաթղթի բովանդակության համար միանձնյա պատասխանատվություն է կրում </w:t>
            </w:r>
            <w:r w:rsidRPr="00717728">
              <w:rPr>
                <w:rFonts w:ascii="Times New Roman" w:hAnsi="Times New Roman" w:cs="Times New Roman"/>
                <w:color w:val="FF0000"/>
                <w:sz w:val="22"/>
                <w:szCs w:val="22"/>
                <w:highlight w:val="yellow"/>
              </w:rPr>
              <w:t>&lt; Ենթադրամաշնորհառուի</w:t>
            </w:r>
            <w:r w:rsidR="00981DBD" w:rsidRPr="00717728" w:rsidDel="00981DBD">
              <w:rPr>
                <w:rFonts w:ascii="Times New Roman" w:hAnsi="Times New Roman" w:cs="Times New Roman"/>
                <w:color w:val="FF0000"/>
                <w:sz w:val="22"/>
                <w:szCs w:val="22"/>
                <w:highlight w:val="yellow"/>
              </w:rPr>
              <w:t xml:space="preserve"> </w:t>
            </w:r>
            <w:r w:rsidRPr="00717728">
              <w:rPr>
                <w:rFonts w:ascii="Times New Roman" w:hAnsi="Times New Roman" w:cs="Times New Roman"/>
                <w:color w:val="FF0000"/>
                <w:sz w:val="22"/>
                <w:szCs w:val="22"/>
              </w:rPr>
              <w:t>&gt;</w:t>
            </w:r>
            <w:r w:rsidRPr="00717728">
              <w:rPr>
                <w:rFonts w:ascii="Times New Roman" w:hAnsi="Times New Roman" w:cs="Times New Roman"/>
                <w:color w:val="auto"/>
                <w:sz w:val="22"/>
                <w:szCs w:val="22"/>
              </w:rPr>
              <w:t xml:space="preserve"> և որևէ պարագայում չի կարող համարվել Եվրոպական Միության դիրքորոշումն արտացոլող փաստաթուղթ»: </w:t>
            </w:r>
          </w:p>
          <w:p w14:paraId="64A144C1" w14:textId="0DEC436A" w:rsidR="00495ADE" w:rsidRPr="00717728" w:rsidRDefault="00495ADE" w:rsidP="000400BA">
            <w:pPr>
              <w:tabs>
                <w:tab w:val="left" w:pos="6237"/>
              </w:tabs>
              <w:spacing w:before="60" w:after="60" w:line="240" w:lineRule="auto"/>
              <w:rPr>
                <w:rFonts w:ascii="Times New Roman" w:hAnsi="Times New Roman" w:cs="Times New Roman"/>
                <w:b/>
                <w:bCs/>
              </w:rPr>
            </w:pPr>
            <w:r w:rsidRPr="00717728">
              <w:rPr>
                <w:rFonts w:ascii="Times New Roman" w:hAnsi="Times New Roman" w:cs="Times New Roman"/>
              </w:rPr>
              <w:t xml:space="preserve"> </w:t>
            </w:r>
            <w:r w:rsidRPr="000941D1">
              <w:rPr>
                <w:rFonts w:ascii="Times New Roman" w:hAnsi="Times New Roman" w:cs="Times New Roman"/>
              </w:rPr>
              <w:t>Ենթադրամաշնորհառուն</w:t>
            </w:r>
            <w:r w:rsidR="00AA07B7" w:rsidRPr="000941D1">
              <w:rPr>
                <w:rFonts w:ascii="Times New Roman" w:hAnsi="Times New Roman" w:cs="Times New Roman"/>
              </w:rPr>
              <w:t xml:space="preserve"> </w:t>
            </w:r>
            <w:r w:rsidRPr="00AA07B7">
              <w:rPr>
                <w:rFonts w:ascii="Times New Roman" w:eastAsiaTheme="minorHAnsi" w:hAnsi="Times New Roman" w:cs="Times New Roman"/>
                <w:lang w:val="en-GB"/>
              </w:rPr>
              <w:t xml:space="preserve">պետք </w:t>
            </w:r>
            <w:r w:rsidRPr="00717728">
              <w:rPr>
                <w:rFonts w:ascii="Times New Roman" w:eastAsiaTheme="minorHAnsi" w:hAnsi="Times New Roman" w:cs="Times New Roman"/>
                <w:lang w:val="en-GB"/>
              </w:rPr>
              <w:t xml:space="preserve">է նախապես ծանուցեն </w:t>
            </w:r>
            <w:r>
              <w:rPr>
                <w:rFonts w:ascii="Times New Roman" w:eastAsiaTheme="minorHAnsi" w:hAnsi="Times New Roman" w:cs="Times New Roman"/>
                <w:lang w:val="en-GB"/>
              </w:rPr>
              <w:t>Ենթադրամաշնորհատ</w:t>
            </w:r>
            <w:r w:rsidRPr="00717728">
              <w:rPr>
                <w:rFonts w:ascii="Times New Roman" w:eastAsiaTheme="minorHAnsi" w:hAnsi="Times New Roman" w:cs="Times New Roman"/>
                <w:lang w:val="en-GB"/>
              </w:rPr>
              <w:t xml:space="preserve">ուին </w:t>
            </w:r>
            <w:r>
              <w:rPr>
                <w:rFonts w:ascii="Times New Roman" w:eastAsiaTheme="minorHAnsi" w:hAnsi="Times New Roman" w:cs="Times New Roman"/>
                <w:lang w:val="en-GB"/>
              </w:rPr>
              <w:t>ենթադրամաշնորհի պ</w:t>
            </w:r>
            <w:r w:rsidRPr="00717728">
              <w:rPr>
                <w:rFonts w:ascii="Times New Roman" w:eastAsiaTheme="minorHAnsi" w:hAnsi="Times New Roman" w:cs="Times New Roman"/>
                <w:lang w:val="en-GB"/>
              </w:rPr>
              <w:t>այմանագրին առնչվող ցանկացած</w:t>
            </w:r>
            <w:r w:rsidRPr="00717728">
              <w:rPr>
                <w:rFonts w:ascii="Times New Roman" w:hAnsi="Times New Roman" w:cs="Times New Roman"/>
              </w:rPr>
              <w:t xml:space="preserve"> </w:t>
            </w:r>
            <w:r w:rsidRPr="00717728">
              <w:rPr>
                <w:rFonts w:ascii="Times New Roman" w:eastAsiaTheme="minorHAnsi" w:hAnsi="Times New Roman" w:cs="Times New Roman"/>
                <w:lang w:val="en-GB"/>
              </w:rPr>
              <w:t>մամլո ասուլիսի, հանրային միջոցառման կամ արարողության մասին և պետք է նշեն, որ աջակցությունը ցուցաբերվել է ԵՄ կողմից «Երևան, Վարշավա, Տիրանա մայրաքաղաքների համագործակցությունը վտանգավոր թափոնների կառավարման ընդհանուր մարտահրավերների շուրջ» ծրագրի շրջանակներում:</w:t>
            </w:r>
          </w:p>
        </w:tc>
        <w:tc>
          <w:tcPr>
            <w:tcW w:w="333" w:type="dxa"/>
            <w:gridSpan w:val="2"/>
            <w:tcBorders>
              <w:top w:val="nil"/>
              <w:left w:val="nil"/>
              <w:bottom w:val="nil"/>
              <w:right w:val="nil"/>
            </w:tcBorders>
          </w:tcPr>
          <w:p w14:paraId="59F6FB7B" w14:textId="77777777" w:rsidR="00495ADE" w:rsidRPr="00717728" w:rsidRDefault="00495ADE" w:rsidP="00F85D4E">
            <w:pPr>
              <w:pStyle w:val="Default"/>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15FFC960" w14:textId="73A74CAD" w:rsidR="00495ADE" w:rsidRPr="00AA07B7" w:rsidRDefault="00495ADE" w:rsidP="007049C5">
            <w:pPr>
              <w:pStyle w:val="Default"/>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9.3. </w:t>
            </w:r>
            <w:r w:rsidRPr="00AA07B7">
              <w:rPr>
                <w:rFonts w:ascii="Times New Roman" w:hAnsi="Times New Roman" w:cs="Times New Roman"/>
                <w:color w:val="auto"/>
                <w:sz w:val="22"/>
                <w:szCs w:val="22"/>
              </w:rPr>
              <w:t xml:space="preserve">Any notice or publication by the </w:t>
            </w:r>
            <w:r w:rsidRPr="000941D1">
              <w:rPr>
                <w:rFonts w:ascii="Times New Roman" w:hAnsi="Times New Roman" w:cs="Times New Roman"/>
                <w:bCs/>
                <w:color w:val="auto"/>
                <w:sz w:val="22"/>
                <w:szCs w:val="22"/>
              </w:rPr>
              <w:t xml:space="preserve">Sub-Grantee </w:t>
            </w:r>
            <w:r w:rsidRPr="00AA07B7">
              <w:rPr>
                <w:rFonts w:ascii="Times New Roman" w:hAnsi="Times New Roman" w:cs="Times New Roman"/>
                <w:color w:val="auto"/>
                <w:sz w:val="22"/>
                <w:szCs w:val="22"/>
              </w:rPr>
              <w:t xml:space="preserve">concerning the Action, including those given at conferences or seminars, </w:t>
            </w:r>
            <w:r w:rsidRPr="00AA07B7">
              <w:rPr>
                <w:rFonts w:ascii="Times New Roman" w:hAnsi="Times New Roman" w:cs="Times New Roman"/>
                <w:color w:val="auto"/>
                <w:sz w:val="22"/>
                <w:szCs w:val="22"/>
              </w:rPr>
              <w:lastRenderedPageBreak/>
              <w:t xml:space="preserve">shall specify that the action has received European Union funding. Any publication by the </w:t>
            </w:r>
            <w:r w:rsidRPr="000941D1">
              <w:rPr>
                <w:rFonts w:ascii="Times New Roman" w:hAnsi="Times New Roman" w:cs="Times New Roman"/>
                <w:bCs/>
                <w:color w:val="auto"/>
                <w:sz w:val="22"/>
                <w:szCs w:val="22"/>
              </w:rPr>
              <w:t>Sub-Grantee</w:t>
            </w:r>
            <w:r w:rsidRPr="00717728">
              <w:rPr>
                <w:rFonts w:ascii="Times New Roman" w:hAnsi="Times New Roman" w:cs="Times New Roman"/>
                <w:color w:val="auto"/>
                <w:sz w:val="22"/>
                <w:szCs w:val="22"/>
              </w:rPr>
              <w:t xml:space="preserve">, in whatever form and by whatever medium, including the internet, shall include the following statement: ‘This document has been produced with the financial assistance of the European Union. The contents of this document are the sole responsibility of </w:t>
            </w:r>
            <w:r w:rsidRPr="00717728">
              <w:rPr>
                <w:rFonts w:ascii="Times New Roman" w:hAnsi="Times New Roman" w:cs="Times New Roman"/>
                <w:color w:val="FF0000"/>
                <w:sz w:val="22"/>
                <w:szCs w:val="22"/>
                <w:highlight w:val="yellow"/>
              </w:rPr>
              <w:t>&lt; Sub-Grantee’s name &gt;</w:t>
            </w:r>
            <w:r w:rsidRPr="00717728">
              <w:rPr>
                <w:rFonts w:ascii="Times New Roman" w:hAnsi="Times New Roman" w:cs="Times New Roman"/>
                <w:color w:val="FF0000"/>
                <w:sz w:val="22"/>
                <w:szCs w:val="22"/>
              </w:rPr>
              <w:t xml:space="preserve"> </w:t>
            </w:r>
            <w:r w:rsidRPr="00717728">
              <w:rPr>
                <w:rFonts w:ascii="Times New Roman" w:hAnsi="Times New Roman" w:cs="Times New Roman"/>
                <w:color w:val="auto"/>
                <w:sz w:val="22"/>
                <w:szCs w:val="22"/>
              </w:rPr>
              <w:t xml:space="preserve">and can under no circumstances be regarded as reflecting the </w:t>
            </w:r>
            <w:r w:rsidRPr="00AA07B7">
              <w:rPr>
                <w:rFonts w:ascii="Times New Roman" w:hAnsi="Times New Roman" w:cs="Times New Roman"/>
                <w:color w:val="auto"/>
                <w:sz w:val="22"/>
                <w:szCs w:val="22"/>
              </w:rPr>
              <w:t xml:space="preserve">position of the European Union.’ </w:t>
            </w:r>
          </w:p>
          <w:p w14:paraId="19D78844" w14:textId="0E716495" w:rsidR="00495ADE" w:rsidRPr="00717728" w:rsidRDefault="00495ADE" w:rsidP="007049C5">
            <w:pPr>
              <w:tabs>
                <w:tab w:val="left" w:pos="6237"/>
              </w:tabs>
              <w:spacing w:before="60" w:after="60" w:line="240" w:lineRule="auto"/>
              <w:jc w:val="both"/>
              <w:rPr>
                <w:rFonts w:ascii="Times New Roman" w:hAnsi="Times New Roman" w:cs="Times New Roman"/>
                <w:b/>
                <w:bCs/>
              </w:rPr>
            </w:pPr>
            <w:r w:rsidRPr="00AA07B7">
              <w:rPr>
                <w:rFonts w:ascii="Times New Roman" w:hAnsi="Times New Roman" w:cs="Times New Roman"/>
              </w:rPr>
              <w:t xml:space="preserve">The </w:t>
            </w:r>
            <w:r w:rsidRPr="000941D1">
              <w:rPr>
                <w:rFonts w:ascii="Times New Roman" w:hAnsi="Times New Roman" w:cs="Times New Roman"/>
                <w:bCs/>
              </w:rPr>
              <w:t xml:space="preserve">Sub-Grantee </w:t>
            </w:r>
            <w:r w:rsidRPr="00AA07B7">
              <w:rPr>
                <w:rFonts w:ascii="Times New Roman" w:hAnsi="Times New Roman" w:cs="Times New Roman"/>
              </w:rPr>
              <w:t xml:space="preserve">shall notify the Sub-grantor of any press conferences, public events, or ceremonies in connection with this contract </w:t>
            </w:r>
            <w:r w:rsidRPr="00717728">
              <w:rPr>
                <w:rFonts w:ascii="Times New Roman" w:hAnsi="Times New Roman" w:cs="Times New Roman"/>
              </w:rPr>
              <w:t>prior to their occurrence and shall acknowledge that support was provided by EU, in the framework of the project ‘</w:t>
            </w:r>
            <w:bookmarkStart w:id="20" w:name="_Hlk39574100"/>
            <w:r w:rsidRPr="00717728">
              <w:rPr>
                <w:rFonts w:ascii="Times New Roman" w:eastAsiaTheme="minorHAnsi" w:hAnsi="Times New Roman" w:cs="Times New Roman"/>
                <w:lang w:val="en-GB"/>
              </w:rPr>
              <w:t>Capital Cities Collaborating on Common Challenges in Hazardous Waste Management – Yerevan, Warsaw, Tirana.</w:t>
            </w:r>
            <w:bookmarkEnd w:id="20"/>
            <w:r w:rsidRPr="00717728">
              <w:rPr>
                <w:rFonts w:ascii="Times New Roman" w:hAnsi="Times New Roman" w:cs="Times New Roman"/>
                <w:color w:val="FF0000"/>
              </w:rPr>
              <w:t>’</w:t>
            </w:r>
          </w:p>
        </w:tc>
      </w:tr>
      <w:tr w:rsidR="00495ADE" w:rsidRPr="00717728" w14:paraId="662EC96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CA42EA7" w14:textId="2B613D19" w:rsidR="00495ADE" w:rsidRPr="00AA07B7" w:rsidRDefault="00495ADE" w:rsidP="009727A6">
            <w:pPr>
              <w:spacing w:after="120" w:line="259" w:lineRule="auto"/>
              <w:contextualSpacing/>
              <w:jc w:val="both"/>
              <w:rPr>
                <w:rFonts w:ascii="Times New Roman" w:hAnsi="Times New Roman" w:cs="Times New Roman"/>
              </w:rPr>
            </w:pPr>
            <w:r w:rsidRPr="00AA07B7">
              <w:rPr>
                <w:rFonts w:ascii="Times New Roman" w:hAnsi="Times New Roman" w:cs="Times New Roman"/>
              </w:rPr>
              <w:lastRenderedPageBreak/>
              <w:t xml:space="preserve">9.4. </w:t>
            </w:r>
            <w:r w:rsidRPr="000941D1">
              <w:rPr>
                <w:rFonts w:ascii="Times New Roman" w:hAnsi="Times New Roman" w:cs="Times New Roman"/>
              </w:rPr>
              <w:t>Ենթադրամաշնորհառուն</w:t>
            </w:r>
            <w:r w:rsidR="00F0513F" w:rsidRPr="000941D1">
              <w:rPr>
                <w:rFonts w:ascii="Times New Roman" w:hAnsi="Times New Roman" w:cs="Times New Roman"/>
              </w:rPr>
              <w:t xml:space="preserve"> </w:t>
            </w:r>
            <w:r w:rsidRPr="00AA07B7">
              <w:rPr>
                <w:rFonts w:ascii="Times New Roman" w:hAnsi="Times New Roman" w:cs="Times New Roman"/>
              </w:rPr>
              <w:t xml:space="preserve">լիազորում են Ենթադրամաշնորհատուին և Եվրահանձնաժողովին հրապարակել </w:t>
            </w:r>
            <w:r w:rsidRPr="000941D1">
              <w:rPr>
                <w:rFonts w:ascii="Times New Roman" w:hAnsi="Times New Roman" w:cs="Times New Roman"/>
              </w:rPr>
              <w:t>իրենց</w:t>
            </w:r>
            <w:r w:rsidRPr="00AA07B7">
              <w:rPr>
                <w:rFonts w:ascii="Times New Roman" w:hAnsi="Times New Roman" w:cs="Times New Roman"/>
              </w:rPr>
              <w:t xml:space="preserve"> անունը և հասցեն, ազգությունը, ենթադրամաշնորհի նպատակը, տևողությունը և վայրը, ինչպես նաև ենթադրամաշնորհի առավելագույն գումարի չափը և Գործողության ծախսերի ֆինանսավորման չափաբաժինը՝ 3-րդ հոդվածով նախատեսված կարգով:  </w:t>
            </w:r>
          </w:p>
          <w:p w14:paraId="519307A6" w14:textId="66A42F54" w:rsidR="00495ADE" w:rsidRPr="00AA07B7" w:rsidRDefault="00495ADE" w:rsidP="009727A6">
            <w:pPr>
              <w:tabs>
                <w:tab w:val="left" w:pos="6237"/>
              </w:tabs>
              <w:spacing w:before="60" w:after="60" w:line="240" w:lineRule="auto"/>
              <w:jc w:val="both"/>
              <w:rPr>
                <w:rFonts w:ascii="Times New Roman" w:hAnsi="Times New Roman" w:cs="Times New Roman"/>
              </w:rPr>
            </w:pPr>
          </w:p>
        </w:tc>
        <w:tc>
          <w:tcPr>
            <w:tcW w:w="333" w:type="dxa"/>
            <w:gridSpan w:val="2"/>
            <w:tcBorders>
              <w:top w:val="nil"/>
              <w:left w:val="nil"/>
              <w:bottom w:val="nil"/>
              <w:right w:val="nil"/>
            </w:tcBorders>
          </w:tcPr>
          <w:p w14:paraId="5917A4F9" w14:textId="77777777" w:rsidR="00495ADE" w:rsidRPr="00AA07B7" w:rsidRDefault="00495ADE" w:rsidP="00AC619D">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0995A6D" w14:textId="4269D01F" w:rsidR="00495ADE" w:rsidRPr="00AA07B7" w:rsidRDefault="00495ADE" w:rsidP="00AC619D">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9.4. The </w:t>
            </w:r>
            <w:r w:rsidRPr="000941D1">
              <w:rPr>
                <w:rFonts w:ascii="Times New Roman" w:hAnsi="Times New Roman" w:cs="Times New Roman"/>
                <w:bCs/>
              </w:rPr>
              <w:t xml:space="preserve">Sub-Grantee </w:t>
            </w:r>
            <w:r w:rsidRPr="00AA07B7">
              <w:rPr>
                <w:rFonts w:ascii="Times New Roman" w:hAnsi="Times New Roman" w:cs="Times New Roman"/>
              </w:rPr>
              <w:t xml:space="preserve">authorises the Sub-grantor and the European Commission to publish </w:t>
            </w:r>
            <w:r w:rsidR="007049C5" w:rsidRPr="000941D1">
              <w:rPr>
                <w:rFonts w:ascii="Times New Roman" w:hAnsi="Times New Roman" w:cs="Times New Roman"/>
              </w:rPr>
              <w:t>its</w:t>
            </w:r>
            <w:r w:rsidR="007049C5" w:rsidRPr="00AA07B7">
              <w:rPr>
                <w:rFonts w:ascii="Times New Roman" w:hAnsi="Times New Roman" w:cs="Times New Roman"/>
              </w:rPr>
              <w:t xml:space="preserve"> </w:t>
            </w:r>
            <w:r w:rsidRPr="00AA07B7">
              <w:rPr>
                <w:rFonts w:ascii="Times New Roman" w:hAnsi="Times New Roman" w:cs="Times New Roman"/>
              </w:rPr>
              <w:t>name and address, nationality, the purpose of the sub-grant, duration and location as well as the maximum amount of the sub-grant and the rate of funding of the Action's costs, as laid down in Article 3.</w:t>
            </w:r>
          </w:p>
        </w:tc>
      </w:tr>
      <w:tr w:rsidR="00495ADE" w:rsidRPr="00717728" w14:paraId="24B7C0F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56CA6CA" w14:textId="7943A64B" w:rsidR="00495ADE" w:rsidRPr="00AA07B7" w:rsidRDefault="00495ADE" w:rsidP="009727A6">
            <w:pPr>
              <w:spacing w:after="120" w:line="259" w:lineRule="auto"/>
              <w:contextualSpacing/>
              <w:jc w:val="both"/>
              <w:rPr>
                <w:rFonts w:ascii="Times New Roman" w:hAnsi="Times New Roman" w:cs="Times New Roman"/>
              </w:rPr>
            </w:pPr>
            <w:r w:rsidRPr="00AA07B7">
              <w:rPr>
                <w:rFonts w:ascii="Times New Roman" w:hAnsi="Times New Roman" w:cs="Times New Roman"/>
              </w:rPr>
              <w:t xml:space="preserve">9.5 </w:t>
            </w:r>
            <w:r w:rsidRPr="000941D1">
              <w:rPr>
                <w:rFonts w:ascii="Times New Roman" w:hAnsi="Times New Roman" w:cs="Times New Roman"/>
              </w:rPr>
              <w:t>Ենթադրամաշնորհառուն</w:t>
            </w:r>
            <w:r w:rsidRPr="00AA07B7">
              <w:rPr>
                <w:rFonts w:ascii="Times New Roman" w:hAnsi="Times New Roman" w:cs="Times New Roman"/>
              </w:rPr>
              <w:t xml:space="preserve">և իրենց անձնակազմը պետք է հարգեն մարդու իրավունքները, տվյալների պաշտպանության կիրառելի կանոնները և շրջակա միջավայրի մասին ՀՀ օրենսդրությունը և միջազգայնորեն ընդունված աշխատանքի հիմնական չափորփոշիչները, ինչպես՝ ԱՄԿ աշխատանքի հիմնական չափորոշիչները, միավորման ազատության և կոլեկտիվ բանակցությունների, հարկադիր աշխատանքի վերացման, աշխատանքի և զբաղվածության բնագավառում խտրականության վերացման և երեխայի աշխատանքի վերացման մասին կոնվենցիաները: </w:t>
            </w:r>
          </w:p>
          <w:p w14:paraId="4B355584" w14:textId="138FBDFD" w:rsidR="00495ADE" w:rsidRPr="00AA07B7" w:rsidRDefault="00495ADE" w:rsidP="009727A6">
            <w:pPr>
              <w:tabs>
                <w:tab w:val="left" w:pos="6237"/>
              </w:tabs>
              <w:spacing w:before="60" w:after="60" w:line="240" w:lineRule="auto"/>
              <w:jc w:val="both"/>
              <w:rPr>
                <w:rFonts w:ascii="Times New Roman" w:hAnsi="Times New Roman" w:cs="Times New Roman"/>
              </w:rPr>
            </w:pPr>
          </w:p>
        </w:tc>
        <w:tc>
          <w:tcPr>
            <w:tcW w:w="333" w:type="dxa"/>
            <w:gridSpan w:val="2"/>
            <w:tcBorders>
              <w:top w:val="nil"/>
              <w:left w:val="nil"/>
              <w:bottom w:val="nil"/>
              <w:right w:val="nil"/>
            </w:tcBorders>
          </w:tcPr>
          <w:p w14:paraId="32313B48" w14:textId="77777777" w:rsidR="00495ADE" w:rsidRPr="00AA07B7" w:rsidRDefault="00495ADE" w:rsidP="00F85D4E">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581E7D3F" w14:textId="0F54B921" w:rsidR="00495ADE" w:rsidRPr="00AA07B7" w:rsidRDefault="00495ADE" w:rsidP="00F85D4E">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9.5 The </w:t>
            </w:r>
            <w:r w:rsidRPr="000941D1">
              <w:rPr>
                <w:rFonts w:ascii="Times New Roman" w:hAnsi="Times New Roman" w:cs="Times New Roman"/>
                <w:bCs/>
              </w:rPr>
              <w:t xml:space="preserve">Sub-Grantee </w:t>
            </w:r>
            <w:r w:rsidRPr="00AA07B7">
              <w:rPr>
                <w:rFonts w:ascii="Times New Roman" w:hAnsi="Times New Roman" w:cs="Times New Roman"/>
              </w:rPr>
              <w:t>and its staff shall respect human rights, applicable data protection rules and environmental legislation applicable in Armenia and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tc>
      </w:tr>
      <w:tr w:rsidR="00495ADE" w:rsidRPr="00717728" w14:paraId="769D251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53AC29C" w14:textId="48D015A3" w:rsidR="00495ADE" w:rsidRPr="00717728" w:rsidRDefault="00495ADE" w:rsidP="009D77AD">
            <w:pPr>
              <w:tabs>
                <w:tab w:val="left" w:pos="6237"/>
              </w:tabs>
              <w:spacing w:before="60" w:after="60" w:line="240" w:lineRule="auto"/>
              <w:jc w:val="both"/>
              <w:rPr>
                <w:rFonts w:ascii="Times New Roman" w:hAnsi="Times New Roman" w:cs="Times New Roman"/>
                <w:b/>
              </w:rPr>
            </w:pPr>
            <w:bookmarkStart w:id="21" w:name="_Toc70236977"/>
            <w:r w:rsidRPr="00717728">
              <w:rPr>
                <w:rFonts w:ascii="Times New Roman" w:hAnsi="Times New Roman" w:cs="Times New Roman"/>
                <w:b/>
              </w:rPr>
              <w:t xml:space="preserve">ՀՈԴՎԱԾ 10 — </w:t>
            </w:r>
            <w:r>
              <w:rPr>
                <w:rFonts w:ascii="Times New Roman" w:hAnsi="Times New Roman" w:cs="Times New Roman"/>
                <w:b/>
              </w:rPr>
              <w:t>Ակտիվների</w:t>
            </w:r>
            <w:r w:rsidRPr="00717728">
              <w:rPr>
                <w:rFonts w:ascii="Times New Roman" w:hAnsi="Times New Roman" w:cs="Times New Roman"/>
                <w:b/>
              </w:rPr>
              <w:t xml:space="preserve"> սեփականություն</w:t>
            </w:r>
            <w:bookmarkEnd w:id="21"/>
          </w:p>
        </w:tc>
        <w:tc>
          <w:tcPr>
            <w:tcW w:w="333" w:type="dxa"/>
            <w:gridSpan w:val="2"/>
            <w:tcBorders>
              <w:top w:val="nil"/>
              <w:left w:val="nil"/>
              <w:bottom w:val="nil"/>
              <w:right w:val="nil"/>
            </w:tcBorders>
          </w:tcPr>
          <w:p w14:paraId="3B2612D4" w14:textId="77777777" w:rsidR="00495ADE" w:rsidRPr="00717728" w:rsidRDefault="00495ADE" w:rsidP="00C16A46">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A48D196" w14:textId="25BC12B3" w:rsidR="00495ADE" w:rsidRPr="00717728" w:rsidRDefault="00495ADE" w:rsidP="00C16A46">
            <w:pPr>
              <w:tabs>
                <w:tab w:val="left" w:pos="6237"/>
              </w:tabs>
              <w:spacing w:before="60" w:after="60" w:line="240" w:lineRule="auto"/>
              <w:jc w:val="both"/>
              <w:rPr>
                <w:rFonts w:ascii="Times New Roman" w:hAnsi="Times New Roman" w:cs="Times New Roman"/>
                <w:b/>
              </w:rPr>
            </w:pPr>
            <w:bookmarkStart w:id="22" w:name="_Toc67590177"/>
            <w:r w:rsidRPr="00717728">
              <w:rPr>
                <w:rFonts w:ascii="Times New Roman" w:hAnsi="Times New Roman" w:cs="Times New Roman"/>
                <w:b/>
              </w:rPr>
              <w:t>ARTICLE 10 — Ownership of assets</w:t>
            </w:r>
            <w:bookmarkEnd w:id="22"/>
          </w:p>
        </w:tc>
      </w:tr>
      <w:tr w:rsidR="00495ADE" w:rsidRPr="00717728" w14:paraId="2D5B845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7DD0EC27" w14:textId="3FA56AB4" w:rsidR="00495ADE" w:rsidRPr="00AA07B7" w:rsidRDefault="00495ADE" w:rsidP="009727A6">
            <w:pPr>
              <w:spacing w:after="120" w:line="259" w:lineRule="auto"/>
              <w:contextualSpacing/>
              <w:jc w:val="both"/>
              <w:rPr>
                <w:rFonts w:ascii="Times New Roman" w:hAnsi="Times New Roman" w:cs="Times New Roman"/>
              </w:rPr>
            </w:pPr>
            <w:r w:rsidRPr="00AA07B7">
              <w:rPr>
                <w:rFonts w:ascii="Times New Roman" w:hAnsi="Times New Roman" w:cs="Times New Roman"/>
              </w:rPr>
              <w:t xml:space="preserve">Ենթադրամաշնորհի միջոցներով ձեռք բերված սարքավորումները և պարագաները </w:t>
            </w:r>
            <w:r w:rsidRPr="000941D1">
              <w:rPr>
                <w:rFonts w:ascii="Times New Roman" w:hAnsi="Times New Roman" w:cs="Times New Roman"/>
              </w:rPr>
              <w:t xml:space="preserve">Ենթադրամաշնորհառուի </w:t>
            </w:r>
            <w:r w:rsidRPr="00AA07B7">
              <w:rPr>
                <w:rFonts w:ascii="Times New Roman" w:hAnsi="Times New Roman" w:cs="Times New Roman"/>
              </w:rPr>
              <w:t xml:space="preserve">կողմից որևէ կերպով չեն կարող փոխանցվել այլ կազմակերպության, անհատի կամ որևէ այլ երրորդ կողմի: </w:t>
            </w:r>
            <w:r w:rsidRPr="000941D1">
              <w:rPr>
                <w:rFonts w:ascii="Times New Roman" w:hAnsi="Times New Roman" w:cs="Times New Roman"/>
              </w:rPr>
              <w:t>Ենթադրամաշնորհառուն</w:t>
            </w:r>
            <w:r w:rsidRPr="00AA07B7">
              <w:rPr>
                <w:rFonts w:ascii="Times New Roman" w:hAnsi="Times New Roman" w:cs="Times New Roman"/>
              </w:rPr>
              <w:t xml:space="preserve">պետք է պահպանեն նման գույքի սեփականությունը սույն Պայամանագրի կատարման ընթացքում և կատարման ժամկետի ավարտից հետո 3 տարի: </w:t>
            </w:r>
          </w:p>
          <w:p w14:paraId="32D2C595" w14:textId="4D8FCAB5" w:rsidR="00495ADE" w:rsidRPr="00AA07B7" w:rsidRDefault="00495ADE" w:rsidP="000400BA">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lastRenderedPageBreak/>
              <w:t xml:space="preserve">Որևէ պարագայում գույքի օգտագործման նպատակը չպետք է վտանգի ծրագրի կայունությունը կամ առաջացնի շահույթ </w:t>
            </w:r>
            <w:r w:rsidRPr="000941D1">
              <w:rPr>
                <w:rFonts w:ascii="Times New Roman" w:hAnsi="Times New Roman" w:cs="Times New Roman"/>
              </w:rPr>
              <w:t>Ենթադրամաշնորհառուի</w:t>
            </w:r>
            <w:r w:rsidR="003A3A12" w:rsidRPr="000941D1">
              <w:rPr>
                <w:rFonts w:ascii="Times New Roman" w:hAnsi="Times New Roman" w:cs="Times New Roman"/>
              </w:rPr>
              <w:t xml:space="preserve"> </w:t>
            </w:r>
            <w:r w:rsidRPr="00AA07B7">
              <w:rPr>
                <w:rFonts w:ascii="Times New Roman" w:hAnsi="Times New Roman" w:cs="Times New Roman"/>
              </w:rPr>
              <w:t>համար: Շահույթը սահմանվում է որպես Ենթադրամաշնորհատուի կողմից հաստատված թույլատրելի ծախսերի չափից ավելցուկ այն պահի դրությամբ, երբ կզմվում է մնացորդի վճարման պահանջ:</w:t>
            </w:r>
          </w:p>
        </w:tc>
        <w:tc>
          <w:tcPr>
            <w:tcW w:w="333" w:type="dxa"/>
            <w:gridSpan w:val="2"/>
            <w:tcBorders>
              <w:top w:val="nil"/>
              <w:left w:val="nil"/>
              <w:bottom w:val="nil"/>
              <w:right w:val="nil"/>
            </w:tcBorders>
          </w:tcPr>
          <w:p w14:paraId="10AC91C6" w14:textId="77777777" w:rsidR="00495ADE" w:rsidRPr="00AA07B7" w:rsidRDefault="00495ADE" w:rsidP="00C16A46">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51742CEA" w14:textId="45816278" w:rsidR="00495ADE" w:rsidRPr="00AA07B7" w:rsidRDefault="00495ADE" w:rsidP="00C16A46">
            <w:pPr>
              <w:spacing w:after="120" w:line="259" w:lineRule="auto"/>
              <w:contextualSpacing/>
              <w:jc w:val="both"/>
              <w:rPr>
                <w:rFonts w:ascii="Times New Roman" w:hAnsi="Times New Roman" w:cs="Times New Roman"/>
              </w:rPr>
            </w:pPr>
            <w:r w:rsidRPr="00AA07B7">
              <w:rPr>
                <w:rFonts w:ascii="Times New Roman" w:hAnsi="Times New Roman" w:cs="Times New Roman"/>
              </w:rPr>
              <w:t xml:space="preserve">Equipment and supplies paid with the sub-grant shall not be transferred by the </w:t>
            </w:r>
            <w:r w:rsidRPr="000941D1">
              <w:rPr>
                <w:rFonts w:ascii="Times New Roman" w:hAnsi="Times New Roman" w:cs="Times New Roman"/>
              </w:rPr>
              <w:t xml:space="preserve">Sub-Grantee </w:t>
            </w:r>
            <w:r w:rsidRPr="00AA07B7">
              <w:rPr>
                <w:rFonts w:ascii="Times New Roman" w:hAnsi="Times New Roman" w:cs="Times New Roman"/>
              </w:rPr>
              <w:t xml:space="preserve">to another organization, an individual or any other third parties in any manner whatsoever. The </w:t>
            </w:r>
            <w:r w:rsidRPr="000941D1">
              <w:rPr>
                <w:rFonts w:ascii="Times New Roman" w:hAnsi="Times New Roman" w:cs="Times New Roman"/>
              </w:rPr>
              <w:t xml:space="preserve">Sub-Grantee </w:t>
            </w:r>
            <w:r w:rsidRPr="00AA07B7">
              <w:rPr>
                <w:rFonts w:ascii="Times New Roman" w:hAnsi="Times New Roman" w:cs="Times New Roman"/>
              </w:rPr>
              <w:t xml:space="preserve">shall maintain the ownership of such assets during the implementation of this </w:t>
            </w:r>
            <w:r w:rsidRPr="00AA07B7">
              <w:rPr>
                <w:rFonts w:ascii="Times New Roman" w:hAnsi="Times New Roman" w:cs="Times New Roman"/>
              </w:rPr>
              <w:lastRenderedPageBreak/>
              <w:t>Contract and in the 3 years after the end of the implementation period.</w:t>
            </w:r>
          </w:p>
          <w:p w14:paraId="5AF2BD78" w14:textId="41AD66AA" w:rsidR="00495ADE" w:rsidRPr="00AA07B7" w:rsidRDefault="00495ADE" w:rsidP="009D77AD">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In no event may the end use of the assets jeopardize the project sustainability, or result in a profit for the </w:t>
            </w:r>
            <w:r w:rsidRPr="000941D1">
              <w:rPr>
                <w:rFonts w:ascii="Times New Roman" w:hAnsi="Times New Roman" w:cs="Times New Roman"/>
                <w:bCs/>
              </w:rPr>
              <w:t>Sub-Grantee</w:t>
            </w:r>
            <w:r w:rsidRPr="00AA07B7">
              <w:rPr>
                <w:rFonts w:ascii="Times New Roman" w:hAnsi="Times New Roman" w:cs="Times New Roman"/>
              </w:rPr>
              <w:t>. Profit is defined as a surplus of the receipts over the eligible costs approved by the Sub-grantor when the request for payment of the balance is made.</w:t>
            </w:r>
          </w:p>
        </w:tc>
      </w:tr>
      <w:tr w:rsidR="00495ADE" w:rsidRPr="00717728" w14:paraId="4C693B1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42443F2E" w14:textId="39E78C4F"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23" w:name="_Toc70236978"/>
            <w:r w:rsidRPr="00717728">
              <w:rPr>
                <w:rFonts w:ascii="Times New Roman" w:hAnsi="Times New Roman" w:cs="Times New Roman"/>
                <w:b/>
              </w:rPr>
              <w:lastRenderedPageBreak/>
              <w:t>ՀՈԴՎԱԾ 11 — Պայմանագրի փոփոխություն</w:t>
            </w:r>
            <w:bookmarkEnd w:id="23"/>
          </w:p>
        </w:tc>
        <w:tc>
          <w:tcPr>
            <w:tcW w:w="333" w:type="dxa"/>
            <w:gridSpan w:val="2"/>
            <w:tcBorders>
              <w:top w:val="nil"/>
              <w:left w:val="nil"/>
              <w:bottom w:val="nil"/>
              <w:right w:val="nil"/>
            </w:tcBorders>
          </w:tcPr>
          <w:p w14:paraId="7125C373" w14:textId="77777777" w:rsidR="00495ADE" w:rsidRPr="00717728" w:rsidRDefault="00495ADE" w:rsidP="00C16A46">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4F38AD9D" w14:textId="47610C68" w:rsidR="00495ADE" w:rsidRPr="00717728" w:rsidRDefault="00495ADE" w:rsidP="00C16A46">
            <w:pPr>
              <w:tabs>
                <w:tab w:val="left" w:pos="6237"/>
              </w:tabs>
              <w:spacing w:before="60" w:after="60" w:line="240" w:lineRule="auto"/>
              <w:jc w:val="both"/>
              <w:rPr>
                <w:rFonts w:ascii="Times New Roman" w:hAnsi="Times New Roman" w:cs="Times New Roman"/>
                <w:b/>
              </w:rPr>
            </w:pPr>
            <w:bookmarkStart w:id="24" w:name="_Toc67590178"/>
            <w:r w:rsidRPr="00717728">
              <w:rPr>
                <w:rFonts w:ascii="Times New Roman" w:hAnsi="Times New Roman" w:cs="Times New Roman"/>
                <w:b/>
              </w:rPr>
              <w:t>ARTICLE 11 — Amendment to the Contract</w:t>
            </w:r>
            <w:bookmarkEnd w:id="24"/>
          </w:p>
        </w:tc>
      </w:tr>
      <w:tr w:rsidR="00495ADE" w:rsidRPr="00717728" w14:paraId="6BF5A5D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53B8C435" w14:textId="4C6E4686" w:rsidR="00495ADE" w:rsidRPr="00717728" w:rsidRDefault="00495ADE" w:rsidP="001F1BA9">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11.1 </w:t>
            </w:r>
            <w:r>
              <w:rPr>
                <w:rFonts w:ascii="Times New Roman" w:hAnsi="Times New Roman" w:cs="Times New Roman"/>
              </w:rPr>
              <w:t>Սույն պ</w:t>
            </w:r>
            <w:r w:rsidRPr="00717728">
              <w:rPr>
                <w:rFonts w:ascii="Times New Roman" w:hAnsi="Times New Roman" w:cs="Times New Roman"/>
              </w:rPr>
              <w:t xml:space="preserve">այմանագրի, ներառյալ դրա Հավելվածների ցանկացած փոփոխություն կատարվում է գրավոր կերպով: </w:t>
            </w:r>
            <w:r>
              <w:rPr>
                <w:rFonts w:ascii="Times New Roman" w:hAnsi="Times New Roman" w:cs="Times New Roman"/>
              </w:rPr>
              <w:t>Սույն պ</w:t>
            </w:r>
            <w:r w:rsidRPr="00717728">
              <w:rPr>
                <w:rFonts w:ascii="Times New Roman" w:hAnsi="Times New Roman" w:cs="Times New Roman"/>
              </w:rPr>
              <w:t>այմանագիրը կարող է փոփոխվել միայն դրա կատարման ընթացքում:</w:t>
            </w:r>
          </w:p>
        </w:tc>
        <w:tc>
          <w:tcPr>
            <w:tcW w:w="333" w:type="dxa"/>
            <w:gridSpan w:val="2"/>
            <w:tcBorders>
              <w:top w:val="nil"/>
              <w:left w:val="nil"/>
              <w:bottom w:val="nil"/>
              <w:right w:val="nil"/>
            </w:tcBorders>
          </w:tcPr>
          <w:p w14:paraId="267BB9B5" w14:textId="77777777" w:rsidR="00495ADE" w:rsidRPr="00717728" w:rsidRDefault="00495ADE" w:rsidP="00C16A46">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24C1605" w14:textId="50C81288" w:rsidR="00495ADE" w:rsidRPr="00717728" w:rsidRDefault="00495ADE" w:rsidP="00C16A46">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11.1 Any amendment to this Contract, including the annexes thereto, shall be set out in writing. This Contract can be modified only during its implementation period.</w:t>
            </w:r>
          </w:p>
        </w:tc>
      </w:tr>
      <w:tr w:rsidR="00495ADE" w:rsidRPr="00717728" w14:paraId="100A1E4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638C4B86" w14:textId="13B572A0" w:rsidR="00495ADE" w:rsidRPr="00717728" w:rsidRDefault="00495ADE" w:rsidP="009727A6">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11.2 Փոփոխությունը չի կարող ունենալ </w:t>
            </w:r>
            <w:r>
              <w:rPr>
                <w:rFonts w:ascii="Times New Roman" w:hAnsi="Times New Roman" w:cs="Times New Roman"/>
              </w:rPr>
              <w:t xml:space="preserve">սույն պայմանագրում փոփոխություն կատարելու </w:t>
            </w:r>
            <w:r w:rsidRPr="00717728">
              <w:rPr>
                <w:rFonts w:ascii="Times New Roman" w:hAnsi="Times New Roman" w:cs="Times New Roman"/>
              </w:rPr>
              <w:t>այնպիսի նպատակ կամ հետևանք, որը կարող է կասկածի տակ դնել ենթադրամաշնորհի շնորհման որոշումը կամ հակասել հայտատուների նկատմամբ հավասար վերաբերմունքի սկզբունքին: 3.2-րդ և 3.3-րդ հոդվածներում նշված ընդհանուր թույլատրելի ծախսերի, համաֆինանսավորման տոկոսի և ենթադրամաշնորհի առավելագույն գումարի չափը չի կարող ավելացվել:</w:t>
            </w:r>
          </w:p>
        </w:tc>
        <w:tc>
          <w:tcPr>
            <w:tcW w:w="333" w:type="dxa"/>
            <w:gridSpan w:val="2"/>
            <w:tcBorders>
              <w:top w:val="nil"/>
              <w:left w:val="nil"/>
              <w:bottom w:val="nil"/>
              <w:right w:val="nil"/>
            </w:tcBorders>
          </w:tcPr>
          <w:p w14:paraId="7C473B2C" w14:textId="77777777" w:rsidR="00495ADE" w:rsidRPr="00717728" w:rsidRDefault="00495ADE" w:rsidP="00C16A46">
            <w:pPr>
              <w:spacing w:line="240" w:lineRule="auto"/>
              <w:rPr>
                <w:rFonts w:ascii="Times New Roman" w:hAnsi="Times New Roman" w:cs="Times New Roman"/>
              </w:rPr>
            </w:pPr>
          </w:p>
        </w:tc>
        <w:tc>
          <w:tcPr>
            <w:tcW w:w="3895" w:type="dxa"/>
            <w:tcBorders>
              <w:top w:val="nil"/>
              <w:left w:val="nil"/>
              <w:bottom w:val="nil"/>
              <w:right w:val="nil"/>
            </w:tcBorders>
          </w:tcPr>
          <w:p w14:paraId="183A4F8A" w14:textId="73902779" w:rsidR="00495ADE" w:rsidRPr="00717728" w:rsidRDefault="00495ADE" w:rsidP="007049C5">
            <w:pPr>
              <w:spacing w:line="240" w:lineRule="auto"/>
              <w:jc w:val="both"/>
              <w:rPr>
                <w:rFonts w:ascii="Times New Roman" w:hAnsi="Times New Roman" w:cs="Times New Roman"/>
              </w:rPr>
            </w:pPr>
            <w:r w:rsidRPr="00717728">
              <w:rPr>
                <w:rFonts w:ascii="Times New Roman" w:hAnsi="Times New Roman" w:cs="Times New Roman"/>
              </w:rPr>
              <w:t>11.2 The amendment may not have the purpose or the effect of making changes to this Contract that would call into question the sub-grant award decision or be contrary to the equal treatment of applicants. The amount of total eligible costs, the co-financing percentage and the maximum sub-grant amount referred to in Article 3.2 and 3.3 cannot be increased.</w:t>
            </w:r>
          </w:p>
        </w:tc>
      </w:tr>
      <w:tr w:rsidR="00495ADE" w:rsidRPr="00717728" w14:paraId="4EE1678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4B6A8C49" w14:textId="55CF5DE3" w:rsidR="00495ADE" w:rsidRPr="00717728" w:rsidRDefault="00495ADE" w:rsidP="009727A6">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11.3. Յուրաքանչյուր կողմ, որը ցանկանում է փոփոխել Պայմանագիրը կամ դրա Հավելվածները, այդ մասին գրավոր ծանուցում է մյուս կողմին (էլ. փոստով): Ծանուցումը պետք է ներկայացվի փոփոխության՝ ուժի մեջ մտնելու օրվանից առնվազն 10 աշխատանքային օր առաջ: Ծանուցումն ստանալուց հետո ծանուցված կողմը պարտավոր է գրավոր (էլ. փոստով) պատասխանել փոփոխության առաջարկն ստանալու պահից ոչ ուշ, քան 10 աշխատանքային օրվա ընթացքում: Ավելի կարճ ժամկետում ծանուցումները կարող են ընդունվել բացառիկ դեպքերում, պայմանով, որ դրանք պատշաճ կերպով հիմնավորված են և ընդունելի են </w:t>
            </w:r>
            <w:r>
              <w:rPr>
                <w:rFonts w:ascii="Times New Roman" w:hAnsi="Times New Roman" w:cs="Times New Roman"/>
              </w:rPr>
              <w:t>Ենթադրամաշնորհատ</w:t>
            </w:r>
            <w:r w:rsidRPr="00717728">
              <w:rPr>
                <w:rFonts w:ascii="Times New Roman" w:hAnsi="Times New Roman" w:cs="Times New Roman"/>
              </w:rPr>
              <w:t>ուի համար:</w:t>
            </w:r>
          </w:p>
        </w:tc>
        <w:tc>
          <w:tcPr>
            <w:tcW w:w="333" w:type="dxa"/>
            <w:gridSpan w:val="2"/>
            <w:tcBorders>
              <w:top w:val="nil"/>
              <w:left w:val="nil"/>
              <w:bottom w:val="nil"/>
              <w:right w:val="nil"/>
            </w:tcBorders>
          </w:tcPr>
          <w:p w14:paraId="0A5E0141" w14:textId="77777777" w:rsidR="00495ADE" w:rsidRPr="00717728" w:rsidRDefault="00495ADE" w:rsidP="00C16A46">
            <w:pPr>
              <w:spacing w:line="240" w:lineRule="auto"/>
              <w:jc w:val="both"/>
              <w:rPr>
                <w:rFonts w:ascii="Times New Roman" w:hAnsi="Times New Roman" w:cs="Times New Roman"/>
              </w:rPr>
            </w:pPr>
          </w:p>
        </w:tc>
        <w:tc>
          <w:tcPr>
            <w:tcW w:w="3895" w:type="dxa"/>
            <w:tcBorders>
              <w:top w:val="nil"/>
              <w:left w:val="nil"/>
              <w:bottom w:val="nil"/>
              <w:right w:val="nil"/>
            </w:tcBorders>
          </w:tcPr>
          <w:p w14:paraId="5194A742" w14:textId="53B60EAE" w:rsidR="00495ADE" w:rsidRPr="00717728" w:rsidRDefault="00495ADE" w:rsidP="00C16A46">
            <w:pPr>
              <w:spacing w:line="240" w:lineRule="auto"/>
              <w:jc w:val="both"/>
              <w:rPr>
                <w:rFonts w:ascii="Times New Roman" w:hAnsi="Times New Roman" w:cs="Times New Roman"/>
              </w:rPr>
            </w:pPr>
            <w:r w:rsidRPr="00717728">
              <w:rPr>
                <w:rFonts w:ascii="Times New Roman" w:hAnsi="Times New Roman" w:cs="Times New Roman"/>
              </w:rPr>
              <w:t xml:space="preserve">11.3. Each party willing to amend the Contract or its Annexes shall notify the other party in writing (e-mail). The notification has to be submitted at least 10 working days before the day when the amendment has to enter into force. Once notification is received the notified Party is obliged to answer in writing (e-mail) not later than 10 working days from receiving the Request of amendment. Notifications on a shorter notice can be accepted in case of exceptional circumstances, provided that these are duly justified and accepted by the </w:t>
            </w:r>
            <w:r>
              <w:rPr>
                <w:rFonts w:ascii="Times New Roman" w:hAnsi="Times New Roman" w:cs="Times New Roman"/>
              </w:rPr>
              <w:t>Sub-grantor</w:t>
            </w:r>
            <w:r w:rsidRPr="00717728">
              <w:rPr>
                <w:rFonts w:ascii="Times New Roman" w:hAnsi="Times New Roman" w:cs="Times New Roman"/>
              </w:rPr>
              <w:t>.</w:t>
            </w:r>
          </w:p>
        </w:tc>
      </w:tr>
      <w:tr w:rsidR="00495ADE" w:rsidRPr="00717728" w14:paraId="5B0A37B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562B97B3" w14:textId="37A854BA" w:rsidR="00495ADE" w:rsidRPr="00717728" w:rsidRDefault="00495ADE" w:rsidP="009727A6">
            <w:pPr>
              <w:spacing w:after="120" w:line="259" w:lineRule="auto"/>
              <w:contextualSpacing/>
              <w:jc w:val="both"/>
              <w:rPr>
                <w:rFonts w:ascii="Times New Roman" w:hAnsi="Times New Roman" w:cs="Times New Roman"/>
              </w:rPr>
            </w:pPr>
            <w:r w:rsidRPr="00717728">
              <w:rPr>
                <w:rFonts w:ascii="Times New Roman" w:hAnsi="Times New Roman" w:cs="Times New Roman"/>
              </w:rPr>
              <w:t>11.4 Ենթադրամաշնորհառուի կողմից</w:t>
            </w:r>
            <w:r>
              <w:rPr>
                <w:rFonts w:ascii="Times New Roman" w:hAnsi="Times New Roman" w:cs="Times New Roman"/>
              </w:rPr>
              <w:t xml:space="preserve">, պահանջվող </w:t>
            </w:r>
            <w:proofErr w:type="gramStart"/>
            <w:r>
              <w:rPr>
                <w:rFonts w:ascii="Times New Roman" w:hAnsi="Times New Roman" w:cs="Times New Roman"/>
              </w:rPr>
              <w:t>փոփոխությունները</w:t>
            </w:r>
            <w:r w:rsidRPr="00717728">
              <w:rPr>
                <w:rFonts w:ascii="Times New Roman" w:hAnsi="Times New Roman" w:cs="Times New Roman"/>
              </w:rPr>
              <w:t>,</w:t>
            </w:r>
            <w:r>
              <w:rPr>
                <w:rFonts w:ascii="Times New Roman" w:hAnsi="Times New Roman" w:cs="Times New Roman"/>
              </w:rPr>
              <w:t xml:space="preserve"> </w:t>
            </w:r>
            <w:r w:rsidRPr="00717728">
              <w:rPr>
                <w:rFonts w:ascii="Times New Roman" w:hAnsi="Times New Roman" w:cs="Times New Roman"/>
              </w:rPr>
              <w:t xml:space="preserve"> </w:t>
            </w:r>
            <w:r>
              <w:rPr>
                <w:rFonts w:ascii="Times New Roman" w:hAnsi="Times New Roman" w:cs="Times New Roman"/>
              </w:rPr>
              <w:t>,</w:t>
            </w:r>
            <w:proofErr w:type="gramEnd"/>
            <w:r w:rsidRPr="00717728">
              <w:rPr>
                <w:rFonts w:ascii="Times New Roman" w:hAnsi="Times New Roman" w:cs="Times New Roman"/>
              </w:rPr>
              <w:t xml:space="preserve"> ուժի մեջ են մտնում, երբ </w:t>
            </w:r>
            <w:r>
              <w:rPr>
                <w:rFonts w:ascii="Times New Roman" w:hAnsi="Times New Roman" w:cs="Times New Roman"/>
              </w:rPr>
              <w:t>Ենթադրամաշնորհատ</w:t>
            </w:r>
            <w:r w:rsidRPr="00717728">
              <w:rPr>
                <w:rFonts w:ascii="Times New Roman" w:hAnsi="Times New Roman" w:cs="Times New Roman"/>
              </w:rPr>
              <w:t xml:space="preserve">ուն ընդունում է ներկայացված փոփոխության առաջարկը: </w:t>
            </w:r>
          </w:p>
          <w:p w14:paraId="22C201A8" w14:textId="32D95200" w:rsidR="00495ADE" w:rsidRPr="00717728" w:rsidRDefault="00495ADE" w:rsidP="009727A6">
            <w:pPr>
              <w:tabs>
                <w:tab w:val="left" w:pos="6237"/>
              </w:tabs>
              <w:spacing w:before="60" w:after="60" w:line="240" w:lineRule="auto"/>
              <w:ind w:left="360"/>
              <w:jc w:val="both"/>
              <w:rPr>
                <w:rFonts w:ascii="Times New Roman" w:hAnsi="Times New Roman" w:cs="Times New Roman"/>
                <w:lang w:val="hy-AM"/>
              </w:rPr>
            </w:pPr>
          </w:p>
        </w:tc>
        <w:tc>
          <w:tcPr>
            <w:tcW w:w="333" w:type="dxa"/>
            <w:gridSpan w:val="2"/>
            <w:tcBorders>
              <w:top w:val="nil"/>
              <w:left w:val="nil"/>
              <w:bottom w:val="nil"/>
              <w:right w:val="nil"/>
            </w:tcBorders>
          </w:tcPr>
          <w:p w14:paraId="12FE9DB5" w14:textId="77777777" w:rsidR="00495ADE" w:rsidRPr="00717728" w:rsidRDefault="00495ADE" w:rsidP="00C16A46">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07C63C76" w14:textId="4FC747E6" w:rsidR="00495ADE" w:rsidRPr="00717728" w:rsidRDefault="00495ADE" w:rsidP="00C16A4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11.4 The amendment(s) required by the Sub-Grantee become effective when the </w:t>
            </w:r>
            <w:r>
              <w:rPr>
                <w:rFonts w:ascii="Times New Roman" w:hAnsi="Times New Roman" w:cs="Times New Roman"/>
              </w:rPr>
              <w:t>Sub-grantor</w:t>
            </w:r>
            <w:r w:rsidRPr="00717728">
              <w:rPr>
                <w:rFonts w:ascii="Times New Roman" w:hAnsi="Times New Roman" w:cs="Times New Roman"/>
              </w:rPr>
              <w:t xml:space="preserve"> approves the submitted Request for Amendment.</w:t>
            </w:r>
          </w:p>
        </w:tc>
      </w:tr>
      <w:tr w:rsidR="00495ADE" w:rsidRPr="00717728" w14:paraId="0FAD27F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CA24E8C" w14:textId="64525309" w:rsidR="00495ADE" w:rsidRPr="00717728" w:rsidRDefault="00495ADE" w:rsidP="009727A6">
            <w:pPr>
              <w:spacing w:after="120" w:line="259" w:lineRule="auto"/>
              <w:contextualSpacing/>
              <w:jc w:val="both"/>
              <w:rPr>
                <w:rFonts w:ascii="Times New Roman" w:eastAsia="Times New Roman" w:hAnsi="Times New Roman" w:cs="Times New Roman"/>
                <w:lang w:val="en-GB"/>
              </w:rPr>
            </w:pPr>
            <w:r w:rsidRPr="00717728">
              <w:rPr>
                <w:rFonts w:ascii="Times New Roman" w:eastAsia="Times New Roman" w:hAnsi="Times New Roman" w:cs="Times New Roman"/>
                <w:lang w:val="en-GB"/>
              </w:rPr>
              <w:t xml:space="preserve">11.5 Ենթադրամաշնորհառուն պետք է նախապես ծանուցի </w:t>
            </w:r>
            <w:r>
              <w:rPr>
                <w:rFonts w:ascii="Times New Roman" w:eastAsia="Times New Roman" w:hAnsi="Times New Roman" w:cs="Times New Roman"/>
                <w:lang w:val="en-GB"/>
              </w:rPr>
              <w:t>Ենթադրամաշնորհատ</w:t>
            </w:r>
            <w:r w:rsidRPr="00717728">
              <w:rPr>
                <w:rFonts w:ascii="Times New Roman" w:eastAsia="Times New Roman" w:hAnsi="Times New Roman" w:cs="Times New Roman"/>
                <w:lang w:val="en-GB"/>
              </w:rPr>
              <w:t>ուին ցանկացած փոփոխության մասին, որը վերաբերում է՝</w:t>
            </w:r>
          </w:p>
          <w:p w14:paraId="49ABF965" w14:textId="77777777" w:rsidR="00495ADE" w:rsidRPr="00717728" w:rsidRDefault="00495ADE" w:rsidP="000941D1">
            <w:pPr>
              <w:numPr>
                <w:ilvl w:val="0"/>
                <w:numId w:val="3"/>
              </w:numPr>
              <w:spacing w:after="120" w:line="259" w:lineRule="auto"/>
              <w:contextualSpacing/>
              <w:jc w:val="both"/>
              <w:rPr>
                <w:rFonts w:ascii="Times New Roman" w:eastAsia="Times New Roman" w:hAnsi="Times New Roman" w:cs="Times New Roman"/>
                <w:lang w:val="en-GB"/>
              </w:rPr>
            </w:pPr>
            <w:r w:rsidRPr="00717728">
              <w:rPr>
                <w:rFonts w:ascii="Times New Roman" w:eastAsia="Times New Roman" w:hAnsi="Times New Roman" w:cs="Times New Roman"/>
                <w:lang w:val="en-GB"/>
              </w:rPr>
              <w:t>նրա իրավական կարգավիճակին,</w:t>
            </w:r>
          </w:p>
          <w:p w14:paraId="658B7BCB" w14:textId="31A2628A" w:rsidR="00495ADE" w:rsidRPr="00717728" w:rsidRDefault="00495ADE" w:rsidP="000941D1">
            <w:pPr>
              <w:numPr>
                <w:ilvl w:val="0"/>
                <w:numId w:val="3"/>
              </w:numPr>
              <w:spacing w:after="120" w:line="259" w:lineRule="auto"/>
              <w:contextualSpacing/>
              <w:jc w:val="both"/>
              <w:rPr>
                <w:rFonts w:ascii="Times New Roman" w:eastAsia="Times New Roman" w:hAnsi="Times New Roman" w:cs="Times New Roman"/>
                <w:lang w:val="en-GB"/>
              </w:rPr>
            </w:pPr>
            <w:r w:rsidRPr="00717728">
              <w:rPr>
                <w:rFonts w:ascii="Times New Roman" w:eastAsia="Times New Roman" w:hAnsi="Times New Roman" w:cs="Times New Roman"/>
                <w:lang w:val="en-GB"/>
              </w:rPr>
              <w:t xml:space="preserve">նրա փաստացի գտնվելու վայրին: </w:t>
            </w:r>
          </w:p>
          <w:p w14:paraId="26276DEE" w14:textId="33190E5D" w:rsidR="00495ADE" w:rsidRPr="00717728" w:rsidRDefault="00495ADE" w:rsidP="009727A6">
            <w:pPr>
              <w:tabs>
                <w:tab w:val="left" w:pos="6237"/>
              </w:tabs>
              <w:spacing w:before="60" w:after="60" w:line="240" w:lineRule="auto"/>
              <w:rPr>
                <w:rFonts w:ascii="Times New Roman" w:hAnsi="Times New Roman" w:cs="Times New Roman"/>
                <w:b/>
              </w:rPr>
            </w:pPr>
            <w:r w:rsidRPr="00717728">
              <w:rPr>
                <w:rFonts w:ascii="Times New Roman" w:eastAsia="Times New Roman" w:hAnsi="Times New Roman" w:cs="Times New Roman"/>
                <w:lang w:val="en-GB"/>
              </w:rPr>
              <w:lastRenderedPageBreak/>
              <w:t>Այդպիսի փոփոխությունների մասին պետք է ծանուցվի դրանց կատարումից առնվազն 10 օր առաջ:</w:t>
            </w:r>
          </w:p>
        </w:tc>
        <w:tc>
          <w:tcPr>
            <w:tcW w:w="333" w:type="dxa"/>
            <w:gridSpan w:val="2"/>
            <w:tcBorders>
              <w:top w:val="nil"/>
              <w:left w:val="nil"/>
              <w:bottom w:val="nil"/>
              <w:right w:val="nil"/>
            </w:tcBorders>
          </w:tcPr>
          <w:p w14:paraId="6B5AD674" w14:textId="77777777" w:rsidR="00495ADE" w:rsidRPr="00717728" w:rsidRDefault="00495ADE" w:rsidP="00C16A46">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7BCBC9A7" w14:textId="0833821E" w:rsidR="00495ADE" w:rsidRPr="00717728" w:rsidRDefault="00495ADE" w:rsidP="00C16A4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11.5 The Sub-Grantee shall notify the </w:t>
            </w:r>
            <w:r>
              <w:rPr>
                <w:rFonts w:ascii="Times New Roman" w:hAnsi="Times New Roman" w:cs="Times New Roman"/>
              </w:rPr>
              <w:t>Sub-grantor</w:t>
            </w:r>
            <w:r w:rsidRPr="00717728">
              <w:rPr>
                <w:rFonts w:ascii="Times New Roman" w:hAnsi="Times New Roman" w:cs="Times New Roman"/>
              </w:rPr>
              <w:t xml:space="preserve"> about any forthcoming change </w:t>
            </w:r>
            <w:r w:rsidR="007049C5">
              <w:rPr>
                <w:rFonts w:ascii="Times New Roman" w:hAnsi="Times New Roman" w:cs="Times New Roman"/>
              </w:rPr>
              <w:t xml:space="preserve">that </w:t>
            </w:r>
            <w:r w:rsidRPr="00717728">
              <w:rPr>
                <w:rFonts w:ascii="Times New Roman" w:hAnsi="Times New Roman" w:cs="Times New Roman"/>
              </w:rPr>
              <w:t>concern</w:t>
            </w:r>
            <w:r w:rsidR="007049C5">
              <w:rPr>
                <w:rFonts w:ascii="Times New Roman" w:hAnsi="Times New Roman" w:cs="Times New Roman"/>
              </w:rPr>
              <w:t>s</w:t>
            </w:r>
            <w:r w:rsidRPr="00717728">
              <w:rPr>
                <w:rFonts w:ascii="Times New Roman" w:hAnsi="Times New Roman" w:cs="Times New Roman"/>
              </w:rPr>
              <w:t>:</w:t>
            </w:r>
          </w:p>
          <w:p w14:paraId="5403FD55" w14:textId="77777777" w:rsidR="00495ADE" w:rsidRPr="00717728" w:rsidRDefault="00495ADE" w:rsidP="000941D1">
            <w:pPr>
              <w:pStyle w:val="ListParagraph"/>
              <w:numPr>
                <w:ilvl w:val="0"/>
                <w:numId w:val="3"/>
              </w:numPr>
              <w:spacing w:after="120" w:line="259" w:lineRule="auto"/>
              <w:jc w:val="both"/>
              <w:rPr>
                <w:rFonts w:ascii="Times New Roman" w:hAnsi="Times New Roman" w:cs="Times New Roman"/>
              </w:rPr>
            </w:pPr>
            <w:r w:rsidRPr="00717728">
              <w:rPr>
                <w:rFonts w:ascii="Times New Roman" w:hAnsi="Times New Roman" w:cs="Times New Roman"/>
              </w:rPr>
              <w:t>its legal status;</w:t>
            </w:r>
          </w:p>
          <w:p w14:paraId="381A94D9" w14:textId="77777777" w:rsidR="00495ADE" w:rsidRPr="00717728" w:rsidRDefault="00495ADE" w:rsidP="000941D1">
            <w:pPr>
              <w:pStyle w:val="ListParagraph"/>
              <w:numPr>
                <w:ilvl w:val="0"/>
                <w:numId w:val="3"/>
              </w:numPr>
              <w:spacing w:after="120" w:line="259" w:lineRule="auto"/>
              <w:jc w:val="both"/>
              <w:rPr>
                <w:rFonts w:ascii="Times New Roman" w:hAnsi="Times New Roman" w:cs="Times New Roman"/>
              </w:rPr>
            </w:pPr>
            <w:r w:rsidRPr="00717728">
              <w:rPr>
                <w:rFonts w:ascii="Times New Roman" w:hAnsi="Times New Roman" w:cs="Times New Roman"/>
              </w:rPr>
              <w:lastRenderedPageBreak/>
              <w:t>changes in the actual locations of its premises.</w:t>
            </w:r>
          </w:p>
          <w:p w14:paraId="51B108D8" w14:textId="6ECD230B" w:rsidR="00495ADE" w:rsidRPr="00717728" w:rsidRDefault="00495ADE" w:rsidP="00C16A46">
            <w:pPr>
              <w:tabs>
                <w:tab w:val="left" w:pos="6237"/>
              </w:tabs>
              <w:spacing w:before="60" w:after="60" w:line="240" w:lineRule="auto"/>
              <w:rPr>
                <w:rFonts w:ascii="Times New Roman" w:hAnsi="Times New Roman" w:cs="Times New Roman"/>
                <w:b/>
              </w:rPr>
            </w:pPr>
            <w:r w:rsidRPr="00717728">
              <w:rPr>
                <w:rFonts w:ascii="Times New Roman" w:hAnsi="Times New Roman" w:cs="Times New Roman"/>
              </w:rPr>
              <w:t>Such changes must be notified at least 10 days prior to their occurrence.</w:t>
            </w:r>
          </w:p>
        </w:tc>
      </w:tr>
      <w:tr w:rsidR="00495ADE" w:rsidRPr="00717728" w14:paraId="468C5A4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046DB436" w14:textId="58C26F5E" w:rsidR="00495ADE" w:rsidRPr="00AA07B7" w:rsidRDefault="00495ADE" w:rsidP="00716443">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lastRenderedPageBreak/>
              <w:t xml:space="preserve">11.6. Այն դեպքում, երբ </w:t>
            </w:r>
            <w:r w:rsidRPr="000941D1">
              <w:rPr>
                <w:rFonts w:ascii="Times New Roman" w:hAnsi="Times New Roman" w:cs="Times New Roman"/>
                <w:bCs/>
              </w:rPr>
              <w:t>Ենթադրամաշնորհառուն</w:t>
            </w:r>
            <w:r w:rsidR="003A3A12" w:rsidRPr="000941D1">
              <w:rPr>
                <w:rFonts w:ascii="Times New Roman" w:hAnsi="Times New Roman" w:cs="Times New Roman"/>
                <w:bCs/>
              </w:rPr>
              <w:t xml:space="preserve"> </w:t>
            </w:r>
            <w:r w:rsidRPr="00AA07B7">
              <w:rPr>
                <w:rFonts w:ascii="Times New Roman" w:hAnsi="Times New Roman" w:cs="Times New Roman"/>
              </w:rPr>
              <w:t>չեն կարողանում ավարտել Գործողությունը Պայմանագրի 2.3 կետում նշված իրականացման ժամկետում, Ենթադրամաշնորհառուն պարտավոր է առանց հետաձգման և իրականացման ժամկետի ավարտից առնվազն 15 օրացույցային օր առաջ այդ մասին ծանուցել Ենթադրամաշնորհատուին և խնդրել երկարաձգել իրականացման ժամկետը: Եթե Ենթադրամաշնորհառուն ժամանակին չի ներկայացնում երկարաձգման դիմումը կամ Ենթադրամաշնորհատուն չի երկարաձգում իրականացման ժամկետը, ապա ուժի մեջ է մնում սկզբնական իրականացման ժամկետը, որը նշված է Պայմանագրի 2-րդ հոդվածում:</w:t>
            </w:r>
          </w:p>
          <w:p w14:paraId="09E352D5" w14:textId="77777777" w:rsidR="003A3A12" w:rsidRPr="00AA07B7" w:rsidRDefault="003A3A12" w:rsidP="00716443">
            <w:pPr>
              <w:tabs>
                <w:tab w:val="left" w:pos="6237"/>
              </w:tabs>
              <w:spacing w:before="60" w:after="60" w:line="240" w:lineRule="auto"/>
              <w:jc w:val="both"/>
              <w:rPr>
                <w:rFonts w:ascii="Times New Roman" w:hAnsi="Times New Roman" w:cs="Times New Roman"/>
              </w:rPr>
            </w:pPr>
          </w:p>
          <w:p w14:paraId="1970CD7A" w14:textId="5027BDFC" w:rsidR="003A3A12" w:rsidRPr="00AA07B7" w:rsidRDefault="003A3A12" w:rsidP="00716443">
            <w:pPr>
              <w:tabs>
                <w:tab w:val="left" w:pos="6237"/>
              </w:tabs>
              <w:spacing w:before="60" w:after="60" w:line="240" w:lineRule="auto"/>
              <w:jc w:val="both"/>
              <w:rPr>
                <w:rFonts w:ascii="Times New Roman" w:hAnsi="Times New Roman" w:cs="Times New Roman"/>
              </w:rPr>
            </w:pPr>
          </w:p>
        </w:tc>
        <w:tc>
          <w:tcPr>
            <w:tcW w:w="333" w:type="dxa"/>
            <w:gridSpan w:val="2"/>
            <w:tcBorders>
              <w:top w:val="nil"/>
              <w:left w:val="nil"/>
              <w:bottom w:val="nil"/>
              <w:right w:val="nil"/>
            </w:tcBorders>
          </w:tcPr>
          <w:p w14:paraId="794AE0F4" w14:textId="77777777" w:rsidR="00495ADE" w:rsidRPr="00AA07B7" w:rsidRDefault="00495ADE" w:rsidP="000C11A1">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7878F2C" w14:textId="17534734" w:rsidR="00495ADE" w:rsidRPr="00AA07B7" w:rsidRDefault="00495ADE" w:rsidP="000C11A1">
            <w:pPr>
              <w:tabs>
                <w:tab w:val="left" w:pos="6237"/>
              </w:tabs>
              <w:spacing w:before="60" w:after="60" w:line="240" w:lineRule="auto"/>
              <w:jc w:val="both"/>
              <w:rPr>
                <w:rFonts w:ascii="Times New Roman" w:hAnsi="Times New Roman" w:cs="Times New Roman"/>
                <w:b/>
              </w:rPr>
            </w:pPr>
            <w:r w:rsidRPr="00AA07B7">
              <w:rPr>
                <w:rFonts w:ascii="Times New Roman" w:hAnsi="Times New Roman" w:cs="Times New Roman"/>
              </w:rPr>
              <w:t xml:space="preserve">11.6. In the event that the </w:t>
            </w:r>
            <w:r w:rsidRPr="000941D1">
              <w:rPr>
                <w:rFonts w:ascii="Times New Roman" w:hAnsi="Times New Roman" w:cs="Times New Roman"/>
                <w:bCs/>
              </w:rPr>
              <w:t xml:space="preserve">Sub-Grantee is </w:t>
            </w:r>
            <w:r w:rsidRPr="00AA07B7">
              <w:rPr>
                <w:rFonts w:ascii="Times New Roman" w:hAnsi="Times New Roman" w:cs="Times New Roman"/>
              </w:rPr>
              <w:t>unable to complete the Action within the implementation period specified on point 2.3 of this Sub-Grant Contract, the Sub-Grantee shall with no delay and at least 15 calendar days prior to the end of the implementation period, notify the Sub-grantor and ask for an extension of the implementation period. Where the Sub-Grantee fails to submit a timely request for extension, or the Sub-grantor does not grant the extension of the implementation period, then the original end of the implementation period, as specified in Article 2 of this Contract, shall remain in effect.</w:t>
            </w:r>
          </w:p>
        </w:tc>
      </w:tr>
      <w:tr w:rsidR="00495ADE" w:rsidRPr="00717728" w14:paraId="0E16F20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77398676" w14:textId="09173498"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25" w:name="_Toc70236979"/>
            <w:r w:rsidRPr="00717728">
              <w:rPr>
                <w:rFonts w:ascii="Times New Roman" w:hAnsi="Times New Roman" w:cs="Times New Roman"/>
                <w:b/>
              </w:rPr>
              <w:t>ՀՈԴՎԱԾ 12 — Ծախսերի թույլատրելիությունը</w:t>
            </w:r>
            <w:bookmarkEnd w:id="25"/>
          </w:p>
        </w:tc>
        <w:tc>
          <w:tcPr>
            <w:tcW w:w="333" w:type="dxa"/>
            <w:gridSpan w:val="2"/>
            <w:tcBorders>
              <w:top w:val="nil"/>
              <w:left w:val="nil"/>
              <w:bottom w:val="nil"/>
              <w:right w:val="nil"/>
            </w:tcBorders>
          </w:tcPr>
          <w:p w14:paraId="7C19F061" w14:textId="77777777" w:rsidR="00495ADE" w:rsidRPr="00717728" w:rsidRDefault="00495ADE" w:rsidP="00C16A46">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4E847C9" w14:textId="48A4FA0F" w:rsidR="00495ADE" w:rsidRPr="00717728" w:rsidRDefault="00495ADE" w:rsidP="00C16A46">
            <w:pPr>
              <w:tabs>
                <w:tab w:val="left" w:pos="6237"/>
              </w:tabs>
              <w:spacing w:before="60" w:after="60" w:line="240" w:lineRule="auto"/>
              <w:jc w:val="both"/>
              <w:rPr>
                <w:rFonts w:ascii="Times New Roman" w:hAnsi="Times New Roman" w:cs="Times New Roman"/>
                <w:b/>
              </w:rPr>
            </w:pPr>
            <w:bookmarkStart w:id="26" w:name="_Toc67590179"/>
            <w:r w:rsidRPr="00717728">
              <w:rPr>
                <w:rFonts w:ascii="Times New Roman" w:hAnsi="Times New Roman" w:cs="Times New Roman"/>
                <w:b/>
              </w:rPr>
              <w:t>ARTICLE 12 — Eligibility of costs</w:t>
            </w:r>
            <w:bookmarkEnd w:id="26"/>
          </w:p>
        </w:tc>
      </w:tr>
      <w:tr w:rsidR="00495ADE" w:rsidRPr="00717728" w14:paraId="27900FD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58FF3936" w14:textId="5F725796" w:rsidR="00495ADE" w:rsidRPr="00AA07B7" w:rsidRDefault="00495ADE" w:rsidP="009F4408">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12.1 Թույլատրելի ծախսերն այն փաստացի ծախսերն են, որոնք </w:t>
            </w:r>
            <w:r w:rsidRPr="000941D1">
              <w:rPr>
                <w:rFonts w:ascii="Times New Roman" w:hAnsi="Times New Roman" w:cs="Times New Roman"/>
                <w:bCs/>
              </w:rPr>
              <w:t>Ենթադրամաշնորհառուն</w:t>
            </w:r>
            <w:r w:rsidR="003A3A12" w:rsidRPr="000941D1">
              <w:rPr>
                <w:rFonts w:ascii="Times New Roman" w:hAnsi="Times New Roman" w:cs="Times New Roman"/>
                <w:bCs/>
              </w:rPr>
              <w:t xml:space="preserve"> </w:t>
            </w:r>
            <w:r w:rsidRPr="00AA07B7">
              <w:rPr>
                <w:rFonts w:ascii="Times New Roman" w:hAnsi="Times New Roman" w:cs="Times New Roman"/>
              </w:rPr>
              <w:t>կրել են, և որոնք համապատասխանում են հետևյալ չափանիշներին.</w:t>
            </w:r>
          </w:p>
          <w:p w14:paraId="2C7A421A" w14:textId="77777777" w:rsidR="00495ADE" w:rsidRPr="000941D1" w:rsidRDefault="00495ADE" w:rsidP="000941D1">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rPr>
            </w:pPr>
            <w:r w:rsidRPr="00AA07B7">
              <w:rPr>
                <w:rFonts w:ascii="Times New Roman" w:hAnsi="Times New Roman" w:cs="Times New Roman"/>
              </w:rPr>
              <w:t xml:space="preserve">ծախսերը կատարվում են </w:t>
            </w:r>
            <w:r w:rsidRPr="000941D1">
              <w:rPr>
                <w:rFonts w:ascii="Times New Roman" w:eastAsiaTheme="minorHAnsi" w:hAnsi="Times New Roman" w:cs="Times New Roman"/>
              </w:rPr>
              <w:t xml:space="preserve">2-րդ հոդվածով նախատեսված </w:t>
            </w:r>
            <w:r w:rsidRPr="00AA07B7">
              <w:rPr>
                <w:rFonts w:ascii="Times New Roman" w:hAnsi="Times New Roman" w:cs="Times New Roman"/>
              </w:rPr>
              <w:t>Գործողության իրականացման ժամկետում, մասնավորապես՝</w:t>
            </w:r>
            <w:r w:rsidRPr="000941D1">
              <w:rPr>
                <w:rFonts w:ascii="Times New Roman" w:eastAsiaTheme="minorHAnsi" w:hAnsi="Times New Roman" w:cs="Times New Roman"/>
              </w:rPr>
              <w:t xml:space="preserve"> </w:t>
            </w:r>
          </w:p>
          <w:p w14:paraId="6F2FB7BD" w14:textId="3CA27247" w:rsidR="00495ADE" w:rsidRPr="000941D1" w:rsidRDefault="00495ADE" w:rsidP="00DA7BCA">
            <w:pPr>
              <w:pStyle w:val="ListParagraph"/>
              <w:autoSpaceDE w:val="0"/>
              <w:autoSpaceDN w:val="0"/>
              <w:adjustRightInd w:val="0"/>
              <w:spacing w:after="120" w:line="259" w:lineRule="auto"/>
              <w:ind w:left="426"/>
              <w:jc w:val="both"/>
              <w:rPr>
                <w:rFonts w:ascii="Times New Roman" w:eastAsiaTheme="minorHAnsi" w:hAnsi="Times New Roman" w:cs="Times New Roman"/>
              </w:rPr>
            </w:pPr>
            <w:r w:rsidRPr="000941D1">
              <w:rPr>
                <w:rFonts w:ascii="Times New Roman" w:eastAsiaTheme="minorHAnsi" w:hAnsi="Times New Roman" w:cs="Times New Roman"/>
              </w:rPr>
              <w:t xml:space="preserve">(i) ծառայություններին վերաբերող ծախսերը կատարվում են, երբ դրանց առնչվող գործողություններն իրականացվում են իրականացման ժամկետում: Մատակարարումներին առնչվող ծախսերը կատարվում են, երբ համապատասխան առաքվում և տեղադրվում են իրականացման ժամկետում: Իրականացման ժամկետի ընթացքում պայմանագրի ստորագրումը, պատվերի հաստատումը կամ ծախսերի կատարման պարտավորություն ստանձնելը՝ իրականացման ժամկետի ավարտից հետո ծառայությունների մատուցման, մատակարարման կամ աշխատանքների կատարման համար չեն համապատասխանում սույն պահանջին:  </w:t>
            </w:r>
          </w:p>
        </w:tc>
        <w:tc>
          <w:tcPr>
            <w:tcW w:w="333" w:type="dxa"/>
            <w:gridSpan w:val="2"/>
            <w:tcBorders>
              <w:top w:val="nil"/>
              <w:left w:val="nil"/>
              <w:bottom w:val="nil"/>
              <w:right w:val="nil"/>
            </w:tcBorders>
          </w:tcPr>
          <w:p w14:paraId="31CE0CB1" w14:textId="77777777" w:rsidR="00495ADE" w:rsidRPr="00AA07B7" w:rsidRDefault="00495ADE" w:rsidP="009F440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D306894" w14:textId="7E872693" w:rsidR="00495ADE" w:rsidRPr="00AA07B7" w:rsidRDefault="00495ADE" w:rsidP="009F4408">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12.1 Eligible costs are actual costs incurred by the </w:t>
            </w:r>
            <w:r w:rsidRPr="000941D1">
              <w:rPr>
                <w:rFonts w:ascii="Times New Roman" w:hAnsi="Times New Roman" w:cs="Times New Roman"/>
                <w:bCs/>
              </w:rPr>
              <w:t xml:space="preserve">Sub-Grantee </w:t>
            </w:r>
            <w:r w:rsidRPr="00AA07B7">
              <w:rPr>
                <w:rFonts w:ascii="Times New Roman" w:hAnsi="Times New Roman" w:cs="Times New Roman"/>
              </w:rPr>
              <w:t>that meet the following criteria:</w:t>
            </w:r>
          </w:p>
          <w:p w14:paraId="0528CBB6" w14:textId="77777777" w:rsidR="00495ADE" w:rsidRPr="000941D1" w:rsidRDefault="00495ADE" w:rsidP="000941D1">
            <w:pPr>
              <w:pStyle w:val="ListParagraph"/>
              <w:numPr>
                <w:ilvl w:val="0"/>
                <w:numId w:val="13"/>
              </w:numPr>
              <w:autoSpaceDE w:val="0"/>
              <w:autoSpaceDN w:val="0"/>
              <w:adjustRightInd w:val="0"/>
              <w:spacing w:after="120" w:line="259" w:lineRule="auto"/>
              <w:jc w:val="both"/>
              <w:rPr>
                <w:rFonts w:ascii="Times New Roman" w:eastAsiaTheme="minorHAnsi" w:hAnsi="Times New Roman" w:cs="Times New Roman"/>
              </w:rPr>
            </w:pPr>
            <w:r w:rsidRPr="00AA07B7">
              <w:rPr>
                <w:rFonts w:ascii="Times New Roman" w:hAnsi="Times New Roman" w:cs="Times New Roman"/>
              </w:rPr>
              <w:t>the costs are</w:t>
            </w:r>
            <w:r w:rsidRPr="000941D1">
              <w:rPr>
                <w:rFonts w:ascii="Times New Roman" w:eastAsiaTheme="minorHAnsi" w:hAnsi="Times New Roman" w:cs="Times New Roman"/>
              </w:rPr>
              <w:t xml:space="preserve"> incurred during the implementation period of the Action as specified in Article 2. In particular:</w:t>
            </w:r>
          </w:p>
          <w:p w14:paraId="64C711EB" w14:textId="77777777" w:rsidR="00495ADE" w:rsidRPr="000941D1" w:rsidRDefault="00495ADE" w:rsidP="00C16A46">
            <w:pPr>
              <w:tabs>
                <w:tab w:val="left" w:pos="6237"/>
              </w:tabs>
              <w:spacing w:before="60" w:after="60" w:line="240" w:lineRule="auto"/>
              <w:jc w:val="both"/>
              <w:rPr>
                <w:rFonts w:ascii="Times New Roman" w:eastAsiaTheme="minorHAnsi" w:hAnsi="Times New Roman" w:cs="Times New Roman"/>
              </w:rPr>
            </w:pPr>
            <w:r w:rsidRPr="000941D1">
              <w:rPr>
                <w:rFonts w:ascii="Times New Roman" w:eastAsiaTheme="minorHAnsi" w:hAnsi="Times New Roman" w:cs="Times New Roman"/>
              </w:rPr>
              <w:t xml:space="preserve">(i) Costs relating to services are incurred when the related activities are performed during the implementation period. Costs relating to supplies are incurred when the related items are delivered and installed during the implementation period. </w:t>
            </w:r>
          </w:p>
          <w:p w14:paraId="51929A29" w14:textId="77777777" w:rsidR="00495ADE" w:rsidRPr="000941D1" w:rsidRDefault="00495ADE" w:rsidP="00C16A46">
            <w:pPr>
              <w:tabs>
                <w:tab w:val="left" w:pos="6237"/>
              </w:tabs>
              <w:spacing w:before="60" w:after="60" w:line="240" w:lineRule="auto"/>
              <w:jc w:val="both"/>
              <w:rPr>
                <w:rFonts w:ascii="Times New Roman" w:eastAsiaTheme="minorHAnsi" w:hAnsi="Times New Roman" w:cs="Times New Roman"/>
              </w:rPr>
            </w:pPr>
          </w:p>
          <w:p w14:paraId="75CC1929" w14:textId="77777777" w:rsidR="00495ADE" w:rsidRPr="000941D1" w:rsidRDefault="00495ADE" w:rsidP="00C16A46">
            <w:pPr>
              <w:tabs>
                <w:tab w:val="left" w:pos="6237"/>
              </w:tabs>
              <w:spacing w:before="60" w:after="60" w:line="240" w:lineRule="auto"/>
              <w:jc w:val="both"/>
              <w:rPr>
                <w:rFonts w:ascii="Times New Roman" w:eastAsiaTheme="minorHAnsi" w:hAnsi="Times New Roman" w:cs="Times New Roman"/>
              </w:rPr>
            </w:pPr>
          </w:p>
          <w:p w14:paraId="477C859B" w14:textId="77777777" w:rsidR="00495ADE" w:rsidRPr="000941D1" w:rsidRDefault="00495ADE" w:rsidP="00C16A46">
            <w:pPr>
              <w:tabs>
                <w:tab w:val="left" w:pos="6237"/>
              </w:tabs>
              <w:spacing w:before="60" w:after="60" w:line="240" w:lineRule="auto"/>
              <w:jc w:val="both"/>
              <w:rPr>
                <w:rFonts w:ascii="Times New Roman" w:eastAsiaTheme="minorHAnsi" w:hAnsi="Times New Roman" w:cs="Times New Roman"/>
              </w:rPr>
            </w:pPr>
          </w:p>
          <w:p w14:paraId="36937638" w14:textId="77777777" w:rsidR="00495ADE" w:rsidRPr="000941D1" w:rsidRDefault="00495ADE" w:rsidP="00C16A46">
            <w:pPr>
              <w:tabs>
                <w:tab w:val="left" w:pos="6237"/>
              </w:tabs>
              <w:spacing w:before="60" w:after="60" w:line="240" w:lineRule="auto"/>
              <w:jc w:val="both"/>
              <w:rPr>
                <w:rFonts w:ascii="Times New Roman" w:eastAsiaTheme="minorHAnsi" w:hAnsi="Times New Roman" w:cs="Times New Roman"/>
              </w:rPr>
            </w:pPr>
          </w:p>
          <w:p w14:paraId="14A8B763" w14:textId="1780784A" w:rsidR="00495ADE" w:rsidRPr="00AA07B7" w:rsidRDefault="00495ADE" w:rsidP="00C16A46">
            <w:pPr>
              <w:tabs>
                <w:tab w:val="left" w:pos="6237"/>
              </w:tabs>
              <w:spacing w:before="60" w:after="60" w:line="240" w:lineRule="auto"/>
              <w:jc w:val="both"/>
              <w:rPr>
                <w:rFonts w:ascii="Times New Roman" w:hAnsi="Times New Roman" w:cs="Times New Roman"/>
                <w:b/>
              </w:rPr>
            </w:pPr>
            <w:r w:rsidRPr="000941D1">
              <w:rPr>
                <w:rFonts w:ascii="Times New Roman" w:eastAsiaTheme="minorHAnsi" w:hAnsi="Times New Roman" w:cs="Times New Roman"/>
              </w:rPr>
              <w:t>Signature of a contract, placing of an order, or entering into any commitment for expenditure within the implementation period for future delivery of services, supplies or works after expiry of the implementation period do not meet this requirement.</w:t>
            </w:r>
          </w:p>
        </w:tc>
      </w:tr>
      <w:tr w:rsidR="00495ADE" w:rsidRPr="00717728" w14:paraId="017A466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1963"/>
        </w:trPr>
        <w:tc>
          <w:tcPr>
            <w:tcW w:w="6246" w:type="dxa"/>
            <w:gridSpan w:val="4"/>
            <w:tcBorders>
              <w:top w:val="nil"/>
              <w:left w:val="nil"/>
              <w:bottom w:val="nil"/>
              <w:right w:val="nil"/>
            </w:tcBorders>
          </w:tcPr>
          <w:p w14:paraId="7CA213D1" w14:textId="75CB6570" w:rsidR="00495ADE" w:rsidRPr="000941D1" w:rsidRDefault="00495ADE" w:rsidP="009F4408">
            <w:pPr>
              <w:autoSpaceDE w:val="0"/>
              <w:autoSpaceDN w:val="0"/>
              <w:adjustRightInd w:val="0"/>
              <w:spacing w:after="120" w:line="259" w:lineRule="auto"/>
              <w:ind w:left="720"/>
              <w:contextualSpacing/>
              <w:jc w:val="both"/>
              <w:rPr>
                <w:rFonts w:ascii="Times New Roman" w:eastAsiaTheme="minorHAnsi" w:hAnsi="Times New Roman" w:cs="Times New Roman"/>
              </w:rPr>
            </w:pPr>
            <w:r w:rsidRPr="000941D1">
              <w:rPr>
                <w:rFonts w:ascii="Times New Roman" w:eastAsiaTheme="minorHAnsi" w:hAnsi="Times New Roman" w:cs="Times New Roman"/>
              </w:rPr>
              <w:lastRenderedPageBreak/>
              <w:t xml:space="preserve"> (ii) կատարված ծախսերը պետք է վճարվեն նախքան վերջնական հաշվետվության հանձնումը: </w:t>
            </w:r>
          </w:p>
          <w:p w14:paraId="70DF4364" w14:textId="77777777" w:rsidR="00495ADE" w:rsidRPr="000941D1" w:rsidRDefault="00495ADE" w:rsidP="00C16A46">
            <w:pPr>
              <w:tabs>
                <w:tab w:val="left" w:pos="7451"/>
              </w:tabs>
              <w:autoSpaceDE w:val="0"/>
              <w:autoSpaceDN w:val="0"/>
              <w:adjustRightInd w:val="0"/>
              <w:spacing w:after="120" w:line="259" w:lineRule="auto"/>
              <w:ind w:firstLine="720"/>
              <w:contextualSpacing/>
              <w:rPr>
                <w:rFonts w:ascii="Times New Roman" w:eastAsiaTheme="minorHAnsi" w:hAnsi="Times New Roman" w:cs="Times New Roman"/>
              </w:rPr>
            </w:pPr>
            <w:r w:rsidRPr="000941D1">
              <w:rPr>
                <w:rFonts w:ascii="Times New Roman" w:eastAsiaTheme="minorHAnsi" w:hAnsi="Times New Roman" w:cs="Times New Roman"/>
              </w:rPr>
              <w:tab/>
            </w:r>
          </w:p>
          <w:p w14:paraId="1290DF22" w14:textId="4E92786E" w:rsidR="00495ADE" w:rsidRPr="00AA07B7"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rPr>
            </w:pPr>
            <w:r w:rsidRPr="00AA07B7">
              <w:rPr>
                <w:rFonts w:ascii="Times New Roman" w:eastAsiaTheme="minorHAnsi" w:hAnsi="Times New Roman" w:cs="Times New Roman"/>
              </w:rPr>
              <w:t xml:space="preserve">(iii) </w:t>
            </w:r>
            <w:r w:rsidRPr="000941D1">
              <w:rPr>
                <w:rFonts w:ascii="Times New Roman" w:eastAsiaTheme="minorHAnsi" w:hAnsi="Times New Roman" w:cs="Times New Roman"/>
              </w:rPr>
              <w:t>Կատարված ծախսերը պետք է վճարվեն բանկային փոխանցմամբ: Կանխիկ վճարումներն արգելված են:</w:t>
            </w:r>
          </w:p>
        </w:tc>
        <w:tc>
          <w:tcPr>
            <w:tcW w:w="333" w:type="dxa"/>
            <w:gridSpan w:val="2"/>
            <w:tcBorders>
              <w:top w:val="nil"/>
              <w:left w:val="nil"/>
              <w:bottom w:val="nil"/>
              <w:right w:val="nil"/>
            </w:tcBorders>
          </w:tcPr>
          <w:p w14:paraId="7CAE34FB" w14:textId="77777777" w:rsidR="00495ADE" w:rsidRPr="000941D1"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rPr>
            </w:pPr>
          </w:p>
        </w:tc>
        <w:tc>
          <w:tcPr>
            <w:tcW w:w="3895" w:type="dxa"/>
            <w:tcBorders>
              <w:top w:val="nil"/>
              <w:left w:val="nil"/>
              <w:bottom w:val="nil"/>
              <w:right w:val="nil"/>
            </w:tcBorders>
          </w:tcPr>
          <w:p w14:paraId="377F6DA2" w14:textId="48C9B193" w:rsidR="00495ADE" w:rsidRPr="000941D1" w:rsidRDefault="00495ADE" w:rsidP="00E11BF5">
            <w:pPr>
              <w:autoSpaceDE w:val="0"/>
              <w:autoSpaceDN w:val="0"/>
              <w:adjustRightInd w:val="0"/>
              <w:spacing w:after="120" w:line="259" w:lineRule="auto"/>
              <w:contextualSpacing/>
              <w:rPr>
                <w:rFonts w:ascii="Times New Roman" w:eastAsiaTheme="minorHAnsi" w:hAnsi="Times New Roman" w:cs="Times New Roman"/>
              </w:rPr>
            </w:pPr>
            <w:r w:rsidRPr="000941D1">
              <w:rPr>
                <w:rFonts w:ascii="Times New Roman" w:eastAsiaTheme="minorHAnsi" w:hAnsi="Times New Roman" w:cs="Times New Roman"/>
              </w:rPr>
              <w:t xml:space="preserve">(ii) Costs incurred must be paid before the submission of the final report. </w:t>
            </w:r>
          </w:p>
          <w:p w14:paraId="2E9DA8D5" w14:textId="77777777" w:rsidR="00495ADE" w:rsidRPr="000941D1"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rPr>
            </w:pPr>
          </w:p>
          <w:p w14:paraId="5ACCE501" w14:textId="7162CA11" w:rsidR="00495ADE" w:rsidRPr="00AA07B7" w:rsidRDefault="00495ADE" w:rsidP="00C16A46">
            <w:pPr>
              <w:tabs>
                <w:tab w:val="left" w:pos="6237"/>
              </w:tabs>
              <w:spacing w:before="60" w:after="60" w:line="240" w:lineRule="auto"/>
              <w:jc w:val="both"/>
              <w:rPr>
                <w:rFonts w:ascii="Times New Roman" w:hAnsi="Times New Roman" w:cs="Times New Roman"/>
                <w:b/>
              </w:rPr>
            </w:pPr>
            <w:r w:rsidRPr="00AA07B7">
              <w:rPr>
                <w:rFonts w:ascii="Times New Roman" w:eastAsiaTheme="minorHAnsi" w:hAnsi="Times New Roman" w:cs="Times New Roman"/>
              </w:rPr>
              <w:t>(iii) Costs incurred must be paid by bank transfer. Cash payments are not allowed.</w:t>
            </w:r>
          </w:p>
        </w:tc>
      </w:tr>
      <w:tr w:rsidR="00495ADE" w:rsidRPr="00717728" w14:paraId="7A4FADA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vAlign w:val="center"/>
          </w:tcPr>
          <w:p w14:paraId="655CEE26" w14:textId="1BDABB22" w:rsidR="00495ADE" w:rsidRPr="00717728" w:rsidRDefault="00495ADE" w:rsidP="007049C5">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t xml:space="preserve">ծախսերը նշվում են Ենթադրամաշնորհի գնահատված ընդհանուր բյուջեում և գտնվում են Ենթադրամաշնորհի բյուջեով նախատեսված սահմաններում (սույն Պայամանագրի Հավելված II), և դրա հետագա փոփոխությունները կատարվում են՝ 11-րդ հոդվածի համաձայն, </w:t>
            </w:r>
          </w:p>
        </w:tc>
        <w:tc>
          <w:tcPr>
            <w:tcW w:w="333" w:type="dxa"/>
            <w:gridSpan w:val="2"/>
            <w:tcBorders>
              <w:top w:val="nil"/>
              <w:left w:val="nil"/>
              <w:bottom w:val="nil"/>
              <w:right w:val="nil"/>
            </w:tcBorders>
          </w:tcPr>
          <w:p w14:paraId="4DBDDBB6" w14:textId="77777777" w:rsidR="00495ADE" w:rsidRPr="00717728" w:rsidRDefault="00495ADE" w:rsidP="007049C5">
            <w:pPr>
              <w:pStyle w:val="ListParagraph"/>
              <w:numPr>
                <w:ilvl w:val="0"/>
                <w:numId w:val="13"/>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392923D0" w14:textId="4233868E" w:rsidR="00495ADE" w:rsidRPr="00717728" w:rsidRDefault="00495ADE" w:rsidP="007049C5">
            <w:pPr>
              <w:pStyle w:val="ListParagraph"/>
              <w:numPr>
                <w:ilvl w:val="0"/>
                <w:numId w:val="20"/>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color w:val="000000"/>
              </w:rPr>
              <w:t xml:space="preserve"> costs are indicated in the estimated overall Sub-Grant Budget and within the limits set in the Sub-Grant Budget (Annex II to this Contract), and its subsequent modifications in compliance with Article 11;</w:t>
            </w:r>
          </w:p>
        </w:tc>
      </w:tr>
      <w:tr w:rsidR="00495ADE" w:rsidRPr="00717728" w14:paraId="245C56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vAlign w:val="center"/>
          </w:tcPr>
          <w:p w14:paraId="00E2032E" w14:textId="3BF07B8A" w:rsidR="00495ADE" w:rsidRPr="00717728" w:rsidRDefault="00495ADE" w:rsidP="000941D1">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t xml:space="preserve">ծախսերն անհրաժեշտ են Գործողության իրականացման համար, </w:t>
            </w:r>
          </w:p>
        </w:tc>
        <w:tc>
          <w:tcPr>
            <w:tcW w:w="333" w:type="dxa"/>
            <w:gridSpan w:val="2"/>
            <w:tcBorders>
              <w:top w:val="nil"/>
              <w:left w:val="nil"/>
              <w:bottom w:val="nil"/>
              <w:right w:val="nil"/>
            </w:tcBorders>
          </w:tcPr>
          <w:p w14:paraId="0A6EB887" w14:textId="77777777" w:rsidR="00495ADE" w:rsidRPr="00717728" w:rsidRDefault="00495ADE" w:rsidP="000941D1">
            <w:pPr>
              <w:pStyle w:val="ListParagraph"/>
              <w:numPr>
                <w:ilvl w:val="0"/>
                <w:numId w:val="20"/>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79A0AEBC" w14:textId="07A2C510" w:rsidR="00495ADE" w:rsidRPr="00717728" w:rsidRDefault="00495ADE" w:rsidP="000941D1">
            <w:pPr>
              <w:pStyle w:val="ListParagraph"/>
              <w:numPr>
                <w:ilvl w:val="0"/>
                <w:numId w:val="21"/>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color w:val="000000"/>
              </w:rPr>
              <w:t xml:space="preserve"> costs are necessary for the implementation of the action;</w:t>
            </w:r>
          </w:p>
        </w:tc>
      </w:tr>
      <w:tr w:rsidR="00495ADE" w:rsidRPr="00717728" w14:paraId="232EBDA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vAlign w:val="center"/>
          </w:tcPr>
          <w:p w14:paraId="558E132F" w14:textId="333A226D" w:rsidR="00495ADE" w:rsidRPr="000941D1" w:rsidRDefault="00495ADE">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rPr>
            </w:pPr>
            <w:r w:rsidRPr="000941D1">
              <w:rPr>
                <w:rFonts w:ascii="Times New Roman" w:eastAsiaTheme="minorHAnsi" w:hAnsi="Times New Roman" w:cs="Times New Roman"/>
              </w:rPr>
              <w:t xml:space="preserve">ծախսերը ստուգելի են, մասնավորապես, գրանցվում են </w:t>
            </w:r>
            <w:r w:rsidRPr="000941D1">
              <w:rPr>
                <w:rFonts w:ascii="Times New Roman" w:hAnsi="Times New Roman" w:cs="Times New Roman"/>
              </w:rPr>
              <w:t>Ենթադրամաշնորհառուի</w:t>
            </w:r>
            <w:r w:rsidR="003A3A12" w:rsidRPr="000941D1">
              <w:rPr>
                <w:rFonts w:ascii="Times New Roman" w:hAnsi="Times New Roman" w:cs="Times New Roman"/>
              </w:rPr>
              <w:t xml:space="preserve"> </w:t>
            </w:r>
            <w:r w:rsidRPr="000941D1">
              <w:rPr>
                <w:rFonts w:ascii="Times New Roman" w:eastAsiaTheme="minorHAnsi" w:hAnsi="Times New Roman" w:cs="Times New Roman"/>
              </w:rPr>
              <w:t>հաշվապահական հաշվառման գրառումներում և են ըստ հաշվապահական և ընհանուր հաշվապահական ,</w:t>
            </w:r>
          </w:p>
        </w:tc>
        <w:tc>
          <w:tcPr>
            <w:tcW w:w="333" w:type="dxa"/>
            <w:gridSpan w:val="2"/>
            <w:tcBorders>
              <w:top w:val="nil"/>
              <w:left w:val="nil"/>
              <w:bottom w:val="nil"/>
              <w:right w:val="nil"/>
            </w:tcBorders>
          </w:tcPr>
          <w:p w14:paraId="11E97A34" w14:textId="77777777" w:rsidR="00495ADE" w:rsidRPr="000941D1" w:rsidRDefault="00495ADE" w:rsidP="0001014D">
            <w:pPr>
              <w:pStyle w:val="ListParagraph"/>
              <w:numPr>
                <w:ilvl w:val="0"/>
                <w:numId w:val="21"/>
              </w:numPr>
              <w:autoSpaceDE w:val="0"/>
              <w:autoSpaceDN w:val="0"/>
              <w:adjustRightInd w:val="0"/>
              <w:spacing w:after="120" w:line="259" w:lineRule="auto"/>
              <w:jc w:val="both"/>
              <w:rPr>
                <w:rFonts w:ascii="Times New Roman" w:eastAsiaTheme="minorHAnsi" w:hAnsi="Times New Roman" w:cs="Times New Roman"/>
              </w:rPr>
            </w:pPr>
          </w:p>
        </w:tc>
        <w:tc>
          <w:tcPr>
            <w:tcW w:w="3895" w:type="dxa"/>
            <w:tcBorders>
              <w:top w:val="nil"/>
              <w:left w:val="nil"/>
              <w:bottom w:val="nil"/>
              <w:right w:val="nil"/>
            </w:tcBorders>
            <w:vAlign w:val="center"/>
          </w:tcPr>
          <w:p w14:paraId="4682CE3C" w14:textId="745558D1" w:rsidR="00495ADE" w:rsidRPr="00AA07B7" w:rsidRDefault="00495ADE" w:rsidP="0001014D">
            <w:pPr>
              <w:pStyle w:val="ListParagraph"/>
              <w:numPr>
                <w:ilvl w:val="0"/>
                <w:numId w:val="22"/>
              </w:numPr>
              <w:autoSpaceDE w:val="0"/>
              <w:autoSpaceDN w:val="0"/>
              <w:adjustRightInd w:val="0"/>
              <w:spacing w:after="120" w:line="259" w:lineRule="auto"/>
              <w:jc w:val="both"/>
              <w:rPr>
                <w:rFonts w:ascii="Times New Roman" w:hAnsi="Times New Roman" w:cs="Times New Roman"/>
              </w:rPr>
            </w:pPr>
            <w:r w:rsidRPr="000941D1">
              <w:rPr>
                <w:rFonts w:ascii="Times New Roman" w:eastAsiaTheme="minorHAnsi" w:hAnsi="Times New Roman" w:cs="Times New Roman"/>
              </w:rPr>
              <w:t xml:space="preserve">the costs are identifiable and verifiable, in particular being recorded in the accounting records of the </w:t>
            </w:r>
            <w:r w:rsidRPr="000941D1">
              <w:rPr>
                <w:rFonts w:ascii="Times New Roman" w:hAnsi="Times New Roman" w:cs="Times New Roman"/>
              </w:rPr>
              <w:t xml:space="preserve">Sub-Grantee </w:t>
            </w:r>
            <w:r w:rsidRPr="000941D1">
              <w:rPr>
                <w:rFonts w:ascii="Times New Roman" w:eastAsiaTheme="minorHAnsi" w:hAnsi="Times New Roman" w:cs="Times New Roman"/>
              </w:rPr>
              <w:t>and determined according to the accounting standards and the usual accounting practices;</w:t>
            </w:r>
          </w:p>
        </w:tc>
      </w:tr>
      <w:tr w:rsidR="00495ADE" w:rsidRPr="00717728" w14:paraId="2925D7F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181A898A" w14:textId="19CCDDFA" w:rsidR="00495ADE" w:rsidRPr="00717728" w:rsidRDefault="00495ADE" w:rsidP="0001014D">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rPr>
            </w:pPr>
            <w:r w:rsidRPr="00717728">
              <w:rPr>
                <w:rFonts w:ascii="Times New Roman" w:eastAsiaTheme="minorHAnsi" w:hAnsi="Times New Roman" w:cs="Times New Roman"/>
              </w:rPr>
              <w:t>ծախսերը համապատասխանում են կիրառելի հարկային և սոցիալական օրենսդրության պահանջներին</w:t>
            </w:r>
          </w:p>
        </w:tc>
        <w:tc>
          <w:tcPr>
            <w:tcW w:w="333" w:type="dxa"/>
            <w:gridSpan w:val="2"/>
            <w:tcBorders>
              <w:top w:val="nil"/>
              <w:left w:val="nil"/>
              <w:bottom w:val="nil"/>
              <w:right w:val="nil"/>
            </w:tcBorders>
          </w:tcPr>
          <w:p w14:paraId="74D0F338" w14:textId="77777777" w:rsidR="00495ADE" w:rsidRPr="00717728" w:rsidRDefault="00495ADE" w:rsidP="0001014D">
            <w:pPr>
              <w:pStyle w:val="ListParagraph"/>
              <w:numPr>
                <w:ilvl w:val="0"/>
                <w:numId w:val="22"/>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4D1B3DFC" w14:textId="4501E592" w:rsidR="00495ADE" w:rsidRPr="00717728" w:rsidRDefault="00495ADE" w:rsidP="0001014D">
            <w:pPr>
              <w:pStyle w:val="ListParagraph"/>
              <w:numPr>
                <w:ilvl w:val="0"/>
                <w:numId w:val="23"/>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rPr>
              <w:t xml:space="preserve"> costs comply with the requirements of applicable tax and social legislation;</w:t>
            </w:r>
          </w:p>
        </w:tc>
      </w:tr>
      <w:tr w:rsidR="00495ADE" w:rsidRPr="00717728" w14:paraId="7A10C86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66752E2" w14:textId="29013378" w:rsidR="00495ADE" w:rsidRDefault="00495ADE" w:rsidP="0001014D">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rPr>
            </w:pPr>
            <w:r w:rsidRPr="00717728">
              <w:rPr>
                <w:rFonts w:ascii="Times New Roman" w:eastAsiaTheme="minorHAnsi" w:hAnsi="Times New Roman" w:cs="Times New Roman"/>
              </w:rPr>
              <w:t xml:space="preserve">ծախսերը ողջամիտ են, հիմնավորված և համապատասխանում են կայուն ֆինանսական կառավարման պահաջներին, մասնավորապես, </w:t>
            </w:r>
            <w:r w:rsidRPr="000941D1">
              <w:rPr>
                <w:rFonts w:ascii="Times New Roman" w:eastAsiaTheme="minorHAnsi" w:hAnsi="Times New Roman" w:cs="Times New Roman"/>
              </w:rPr>
              <w:t>խնայողության</w:t>
            </w:r>
            <w:r w:rsidRPr="00717728">
              <w:rPr>
                <w:rFonts w:ascii="Times New Roman" w:eastAsiaTheme="minorHAnsi" w:hAnsi="Times New Roman" w:cs="Times New Roman"/>
              </w:rPr>
              <w:t xml:space="preserve"> և արդյունավետության տեսանկյուն</w:t>
            </w:r>
            <w:r>
              <w:rPr>
                <w:rFonts w:ascii="Times New Roman" w:eastAsiaTheme="minorHAnsi" w:hAnsi="Times New Roman" w:cs="Times New Roman"/>
              </w:rPr>
              <w:t>ներ</w:t>
            </w:r>
            <w:r w:rsidRPr="00717728">
              <w:rPr>
                <w:rFonts w:ascii="Times New Roman" w:eastAsiaTheme="minorHAnsi" w:hAnsi="Times New Roman" w:cs="Times New Roman"/>
              </w:rPr>
              <w:t xml:space="preserve">ից:  </w:t>
            </w:r>
          </w:p>
          <w:p w14:paraId="78784FBE" w14:textId="7F27F043" w:rsidR="00495ADE" w:rsidRPr="00717728" w:rsidRDefault="00495ADE" w:rsidP="0001014D">
            <w:pPr>
              <w:pStyle w:val="ListParagraph"/>
              <w:numPr>
                <w:ilvl w:val="0"/>
                <w:numId w:val="4"/>
              </w:numPr>
              <w:autoSpaceDE w:val="0"/>
              <w:autoSpaceDN w:val="0"/>
              <w:adjustRightInd w:val="0"/>
              <w:spacing w:after="120" w:line="259" w:lineRule="auto"/>
              <w:ind w:left="426" w:hanging="426"/>
              <w:jc w:val="both"/>
              <w:rPr>
                <w:rFonts w:ascii="Times New Roman" w:eastAsiaTheme="minorHAnsi" w:hAnsi="Times New Roman" w:cs="Times New Roman"/>
              </w:rPr>
            </w:pPr>
            <w:r>
              <w:rPr>
                <w:rFonts w:ascii="Times New Roman" w:eastAsiaTheme="minorHAnsi" w:hAnsi="Times New Roman" w:cs="Times New Roman"/>
              </w:rPr>
              <w:t>ծախսերը կատարված են ծրագրի համար նախատեսված բանկային</w:t>
            </w:r>
            <w:r w:rsidR="005A5917">
              <w:rPr>
                <w:rFonts w:ascii="Times New Roman" w:eastAsiaTheme="minorHAnsi" w:hAnsi="Times New Roman" w:cs="Times New Roman"/>
              </w:rPr>
              <w:t>/</w:t>
            </w:r>
            <w:r w:rsidR="005A5917">
              <w:rPr>
                <w:rFonts w:ascii="Times New Roman" w:eastAsiaTheme="minorHAnsi" w:hAnsi="Times New Roman" w:cs="Times New Roman"/>
                <w:lang w:val="hy-AM"/>
              </w:rPr>
              <w:t>գանձապետական</w:t>
            </w:r>
            <w:r>
              <w:rPr>
                <w:rFonts w:ascii="Times New Roman" w:eastAsiaTheme="minorHAnsi" w:hAnsi="Times New Roman" w:cs="Times New Roman"/>
              </w:rPr>
              <w:t xml:space="preserve"> հաշվից</w:t>
            </w:r>
          </w:p>
        </w:tc>
        <w:tc>
          <w:tcPr>
            <w:tcW w:w="333" w:type="dxa"/>
            <w:gridSpan w:val="2"/>
            <w:tcBorders>
              <w:top w:val="nil"/>
              <w:left w:val="nil"/>
              <w:bottom w:val="nil"/>
              <w:right w:val="nil"/>
            </w:tcBorders>
          </w:tcPr>
          <w:p w14:paraId="64D666D1" w14:textId="77777777" w:rsidR="00495ADE" w:rsidRPr="00717728" w:rsidRDefault="00495ADE" w:rsidP="0001014D">
            <w:pPr>
              <w:pStyle w:val="ListParagraph"/>
              <w:numPr>
                <w:ilvl w:val="0"/>
                <w:numId w:val="23"/>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74613791" w14:textId="093D4FC0" w:rsidR="00495ADE" w:rsidRPr="00716443" w:rsidRDefault="00495ADE" w:rsidP="0001014D">
            <w:pPr>
              <w:pStyle w:val="ListParagraph"/>
              <w:numPr>
                <w:ilvl w:val="0"/>
                <w:numId w:val="24"/>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rPr>
              <w:t xml:space="preserve"> costs are reasonable, justified and comply with the requirements of sound financial management, in particular regarding economy and efficiency</w:t>
            </w:r>
            <w:r w:rsidR="0001014D">
              <w:rPr>
                <w:rFonts w:ascii="Times New Roman" w:eastAsiaTheme="minorHAnsi" w:hAnsi="Times New Roman" w:cs="Times New Roman"/>
              </w:rPr>
              <w:t>;</w:t>
            </w:r>
          </w:p>
          <w:p w14:paraId="3A9826AF" w14:textId="10293C1D" w:rsidR="00495ADE" w:rsidRPr="00717728" w:rsidRDefault="0001014D" w:rsidP="0001014D">
            <w:pPr>
              <w:pStyle w:val="ListParagraph"/>
              <w:numPr>
                <w:ilvl w:val="0"/>
                <w:numId w:val="24"/>
              </w:numPr>
              <w:autoSpaceDE w:val="0"/>
              <w:autoSpaceDN w:val="0"/>
              <w:adjustRightInd w:val="0"/>
              <w:spacing w:after="120" w:line="259" w:lineRule="auto"/>
              <w:jc w:val="both"/>
              <w:rPr>
                <w:rFonts w:ascii="Times New Roman" w:hAnsi="Times New Roman" w:cs="Times New Roman"/>
              </w:rPr>
            </w:pPr>
            <w:r>
              <w:rPr>
                <w:rFonts w:ascii="Times New Roman" w:eastAsiaTheme="minorHAnsi" w:hAnsi="Times New Roman" w:cs="Times New Roman"/>
              </w:rPr>
              <w:t>t</w:t>
            </w:r>
            <w:r w:rsidR="00495ADE">
              <w:rPr>
                <w:rFonts w:ascii="Times New Roman" w:eastAsiaTheme="minorHAnsi" w:hAnsi="Times New Roman" w:cs="Times New Roman"/>
              </w:rPr>
              <w:t>he expenditures incurred out of the bank</w:t>
            </w:r>
            <w:r>
              <w:rPr>
                <w:rFonts w:ascii="Times New Roman" w:eastAsiaTheme="minorHAnsi" w:hAnsi="Times New Roman" w:cs="Times New Roman"/>
              </w:rPr>
              <w:t>/treasury</w:t>
            </w:r>
            <w:r w:rsidR="00495ADE">
              <w:rPr>
                <w:rFonts w:ascii="Times New Roman" w:eastAsiaTheme="minorHAnsi" w:hAnsi="Times New Roman" w:cs="Times New Roman"/>
              </w:rPr>
              <w:t xml:space="preserve"> account dedicated to the project</w:t>
            </w:r>
          </w:p>
        </w:tc>
      </w:tr>
      <w:tr w:rsidR="00495ADE" w:rsidRPr="00717728" w14:paraId="7C45D1F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4"/>
            <w:tcBorders>
              <w:top w:val="nil"/>
              <w:left w:val="nil"/>
              <w:bottom w:val="nil"/>
              <w:right w:val="nil"/>
            </w:tcBorders>
          </w:tcPr>
          <w:p w14:paraId="0A798E48" w14:textId="1284C3F4" w:rsidR="00495ADE" w:rsidRPr="00717728" w:rsidRDefault="00495ADE" w:rsidP="002154A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12.2. 12.1-ին հոդվածով նախատեսված դեպքերում, և ըստ անհրաժեշտության, Հավելված IV</w:t>
            </w:r>
            <w:r w:rsidRPr="00717728">
              <w:rPr>
                <w:rFonts w:ascii="Times New Roman" w:hAnsi="Times New Roman" w:cs="Times New Roman"/>
              </w:rPr>
              <w:noBreakHyphen/>
              <w:t>ի դրույթներով նախատեսված դեպքերում թույլատրելի են հետևյալ ծախսերը.</w:t>
            </w:r>
          </w:p>
        </w:tc>
        <w:tc>
          <w:tcPr>
            <w:tcW w:w="333" w:type="dxa"/>
            <w:gridSpan w:val="2"/>
            <w:tcBorders>
              <w:top w:val="nil"/>
              <w:left w:val="nil"/>
              <w:bottom w:val="nil"/>
              <w:right w:val="nil"/>
            </w:tcBorders>
          </w:tcPr>
          <w:p w14:paraId="1BFEDA8E" w14:textId="77777777" w:rsidR="00495ADE" w:rsidRPr="00717728" w:rsidRDefault="00495ADE" w:rsidP="0052546C">
            <w:pPr>
              <w:tabs>
                <w:tab w:val="left" w:pos="6237"/>
              </w:tabs>
              <w:spacing w:before="60" w:after="60" w:line="240" w:lineRule="auto"/>
              <w:ind w:left="90"/>
              <w:jc w:val="both"/>
              <w:rPr>
                <w:rFonts w:ascii="Times New Roman" w:hAnsi="Times New Roman" w:cs="Times New Roman"/>
              </w:rPr>
            </w:pPr>
          </w:p>
        </w:tc>
        <w:tc>
          <w:tcPr>
            <w:tcW w:w="3895" w:type="dxa"/>
            <w:tcBorders>
              <w:top w:val="nil"/>
              <w:left w:val="nil"/>
              <w:bottom w:val="nil"/>
              <w:right w:val="nil"/>
            </w:tcBorders>
          </w:tcPr>
          <w:p w14:paraId="4746A572" w14:textId="103352DE" w:rsidR="00495ADE" w:rsidRPr="00717728" w:rsidRDefault="00495ADE" w:rsidP="0052546C">
            <w:pPr>
              <w:tabs>
                <w:tab w:val="left" w:pos="6237"/>
              </w:tabs>
              <w:spacing w:before="60" w:after="60" w:line="240" w:lineRule="auto"/>
              <w:ind w:left="90"/>
              <w:jc w:val="both"/>
              <w:rPr>
                <w:rFonts w:ascii="Times New Roman" w:hAnsi="Times New Roman" w:cs="Times New Roman"/>
              </w:rPr>
            </w:pPr>
            <w:r w:rsidRPr="00717728">
              <w:rPr>
                <w:rFonts w:ascii="Times New Roman" w:hAnsi="Times New Roman" w:cs="Times New Roman"/>
              </w:rPr>
              <w:t>12.2. Subject to Article 12.1 and, where relevant, to the provisions of Annex IV being respected, the</w:t>
            </w:r>
            <w:r w:rsidRPr="00717728">
              <w:rPr>
                <w:rFonts w:ascii="Times New Roman" w:eastAsiaTheme="minorHAnsi" w:hAnsi="Times New Roman" w:cs="Times New Roman"/>
              </w:rPr>
              <w:t xml:space="preserve"> following costs shall be eligible:</w:t>
            </w:r>
          </w:p>
        </w:tc>
      </w:tr>
      <w:tr w:rsidR="00495ADE" w:rsidRPr="00717728" w14:paraId="46636E0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4"/>
            <w:tcBorders>
              <w:top w:val="nil"/>
              <w:left w:val="nil"/>
              <w:bottom w:val="nil"/>
              <w:right w:val="nil"/>
            </w:tcBorders>
          </w:tcPr>
          <w:p w14:paraId="1F15656D" w14:textId="44E5A5D2" w:rsidR="00495ADE" w:rsidRPr="000941D1" w:rsidRDefault="00495ADE" w:rsidP="0001014D">
            <w:pPr>
              <w:pStyle w:val="ListParagraph"/>
              <w:numPr>
                <w:ilvl w:val="0"/>
                <w:numId w:val="5"/>
              </w:num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t xml:space="preserve">գործողության համար նշանակված ծրագրի համակարգողի և էկոկրթողների ծախսերը, որոնք գտնվում են Հայտատուների ուղեցույցներում (Հավելված III) և բյուջեում (Հավելված II) նշված գումարի սահմաններում: Աշխատավարձի ծախսերը համապատասխանում են փաստացի համախառն աշխատավարձերին, ներառյալ սոցիալական ապահովության վճարները և այլ ծախսերը (չհաշված կատարողականի վրա հիմնված պարգևավճարները), պայմանով, որ դրանք չեն գերազանցում են այն </w:t>
            </w:r>
            <w:r w:rsidRPr="00AA07B7">
              <w:rPr>
                <w:rFonts w:ascii="Times New Roman" w:hAnsi="Times New Roman" w:cs="Times New Roman"/>
              </w:rPr>
              <w:lastRenderedPageBreak/>
              <w:t xml:space="preserve">ծախսերը, որոնք </w:t>
            </w:r>
            <w:r w:rsidRPr="000941D1">
              <w:rPr>
                <w:rFonts w:ascii="Times New Roman" w:hAnsi="Times New Roman" w:cs="Times New Roman"/>
              </w:rPr>
              <w:t>Ենթադրամաշնորհառուն</w:t>
            </w:r>
            <w:r w:rsidR="003A3A12" w:rsidRPr="000941D1">
              <w:rPr>
                <w:rFonts w:ascii="Times New Roman" w:hAnsi="Times New Roman" w:cs="Times New Roman"/>
              </w:rPr>
              <w:t xml:space="preserve"> </w:t>
            </w:r>
            <w:r w:rsidRPr="00AA07B7">
              <w:rPr>
                <w:rFonts w:ascii="Times New Roman" w:hAnsi="Times New Roman" w:cs="Times New Roman"/>
              </w:rPr>
              <w:t>սովորաբար կրում են,</w:t>
            </w:r>
            <w:r w:rsidRPr="000941D1">
              <w:rPr>
                <w:rFonts w:ascii="Times New Roman" w:hAnsi="Times New Roman" w:cs="Times New Roman"/>
              </w:rPr>
              <w:t xml:space="preserve"> </w:t>
            </w:r>
          </w:p>
          <w:p w14:paraId="1D93E7FD" w14:textId="20C1E376" w:rsidR="00495ADE" w:rsidRPr="00AA07B7" w:rsidRDefault="00495ADE" w:rsidP="002154A8">
            <w:pPr>
              <w:tabs>
                <w:tab w:val="left" w:pos="6237"/>
              </w:tabs>
              <w:spacing w:before="60" w:after="60" w:line="240" w:lineRule="auto"/>
              <w:rPr>
                <w:rFonts w:ascii="Times New Roman" w:hAnsi="Times New Roman" w:cs="Times New Roman"/>
                <w:b/>
              </w:rPr>
            </w:pPr>
          </w:p>
        </w:tc>
        <w:tc>
          <w:tcPr>
            <w:tcW w:w="333" w:type="dxa"/>
            <w:gridSpan w:val="2"/>
            <w:tcBorders>
              <w:top w:val="nil"/>
              <w:left w:val="nil"/>
              <w:bottom w:val="nil"/>
              <w:right w:val="nil"/>
            </w:tcBorders>
          </w:tcPr>
          <w:p w14:paraId="49B7705B" w14:textId="77777777" w:rsidR="00495ADE" w:rsidRPr="00AA07B7" w:rsidRDefault="00495ADE" w:rsidP="0001014D">
            <w:pPr>
              <w:pStyle w:val="ListParagraph"/>
              <w:numPr>
                <w:ilvl w:val="0"/>
                <w:numId w:val="1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4E379BDE" w14:textId="4EBBC089" w:rsidR="00495ADE" w:rsidRPr="00AA07B7" w:rsidRDefault="00495ADE" w:rsidP="0001014D">
            <w:pPr>
              <w:pStyle w:val="ListParagraph"/>
              <w:numPr>
                <w:ilvl w:val="0"/>
                <w:numId w:val="25"/>
              </w:numPr>
              <w:tabs>
                <w:tab w:val="left" w:pos="6237"/>
              </w:tabs>
              <w:spacing w:before="60" w:after="60" w:line="240" w:lineRule="auto"/>
              <w:jc w:val="both"/>
              <w:rPr>
                <w:rFonts w:ascii="Times New Roman" w:hAnsi="Times New Roman" w:cs="Times New Roman"/>
                <w:b/>
              </w:rPr>
            </w:pPr>
            <w:r w:rsidRPr="00AA07B7">
              <w:rPr>
                <w:rFonts w:ascii="Times New Roman" w:hAnsi="Times New Roman" w:cs="Times New Roman"/>
              </w:rPr>
              <w:t xml:space="preserve">the cost of the Project Coordinator and Eco-Educators assigned to the action, within the limits set by Guidelines for Applicants (Annex III) and as included in the Budget (Annex II). Salary costs correspond to actual gross salaries including social security charges and other remuneration-related costs (excluding performance-based bonuses) provided that such costs </w:t>
            </w:r>
            <w:r w:rsidRPr="00AA07B7">
              <w:rPr>
                <w:rFonts w:ascii="Times New Roman" w:hAnsi="Times New Roman" w:cs="Times New Roman"/>
              </w:rPr>
              <w:lastRenderedPageBreak/>
              <w:t xml:space="preserve">do not exceed those normally borne by the </w:t>
            </w:r>
            <w:r w:rsidRPr="000941D1">
              <w:rPr>
                <w:rFonts w:ascii="Times New Roman" w:hAnsi="Times New Roman" w:cs="Times New Roman"/>
                <w:bCs/>
              </w:rPr>
              <w:t>Sub-Grantee</w:t>
            </w:r>
            <w:r w:rsidRPr="000941D1">
              <w:rPr>
                <w:rFonts w:ascii="Times New Roman" w:hAnsi="Times New Roman" w:cs="Times New Roman"/>
              </w:rPr>
              <w:t>;</w:t>
            </w:r>
          </w:p>
        </w:tc>
      </w:tr>
      <w:tr w:rsidR="00495ADE" w:rsidRPr="00717728" w14:paraId="1203C73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4"/>
            <w:tcBorders>
              <w:top w:val="nil"/>
              <w:left w:val="nil"/>
              <w:bottom w:val="nil"/>
              <w:right w:val="nil"/>
            </w:tcBorders>
          </w:tcPr>
          <w:p w14:paraId="43CEA2F8" w14:textId="4BCDCF9F" w:rsidR="00495ADE" w:rsidRPr="00AA07B7" w:rsidRDefault="00495ADE" w:rsidP="0001014D">
            <w:pPr>
              <w:pStyle w:val="ListParagraph"/>
              <w:numPr>
                <w:ilvl w:val="0"/>
                <w:numId w:val="5"/>
              </w:num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lastRenderedPageBreak/>
              <w:t>ծրագրի համակարգողի և էկոկրթողների կողմից  արտահաստիքային ծառայությունների մատուցման պայմանագրերի ծախսեր,</w:t>
            </w:r>
          </w:p>
        </w:tc>
        <w:tc>
          <w:tcPr>
            <w:tcW w:w="333" w:type="dxa"/>
            <w:gridSpan w:val="2"/>
            <w:tcBorders>
              <w:top w:val="nil"/>
              <w:left w:val="nil"/>
              <w:bottom w:val="nil"/>
              <w:right w:val="nil"/>
            </w:tcBorders>
          </w:tcPr>
          <w:p w14:paraId="403DED1E" w14:textId="77777777" w:rsidR="00495ADE" w:rsidRPr="00AA07B7" w:rsidRDefault="00495ADE" w:rsidP="0001014D">
            <w:pPr>
              <w:pStyle w:val="ListParagraph"/>
              <w:numPr>
                <w:ilvl w:val="0"/>
                <w:numId w:val="25"/>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694EE067" w14:textId="1D5E2854" w:rsidR="00495ADE" w:rsidRPr="00AA07B7" w:rsidRDefault="00495ADE" w:rsidP="0001014D">
            <w:pPr>
              <w:pStyle w:val="ListParagraph"/>
              <w:numPr>
                <w:ilvl w:val="0"/>
                <w:numId w:val="26"/>
              </w:numPr>
              <w:tabs>
                <w:tab w:val="left" w:pos="6237"/>
              </w:tabs>
              <w:spacing w:before="60" w:after="60" w:line="240" w:lineRule="auto"/>
              <w:rPr>
                <w:rFonts w:ascii="Times New Roman" w:hAnsi="Times New Roman" w:cs="Times New Roman"/>
              </w:rPr>
            </w:pPr>
            <w:r w:rsidRPr="00AA07B7">
              <w:rPr>
                <w:rFonts w:ascii="Times New Roman" w:hAnsi="Times New Roman" w:cs="Times New Roman"/>
              </w:rPr>
              <w:t>costs of freelance service contracts for the Project Coordinator and Eco-Educators;</w:t>
            </w:r>
          </w:p>
        </w:tc>
      </w:tr>
      <w:tr w:rsidR="00495ADE" w:rsidRPr="00717728" w14:paraId="5010155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4"/>
            <w:tcBorders>
              <w:top w:val="nil"/>
              <w:left w:val="nil"/>
              <w:bottom w:val="nil"/>
              <w:right w:val="nil"/>
            </w:tcBorders>
          </w:tcPr>
          <w:p w14:paraId="4B2349C7" w14:textId="48A8F949" w:rsidR="00495ADE" w:rsidRPr="00AA07B7" w:rsidRDefault="00495ADE" w:rsidP="0001014D">
            <w:pPr>
              <w:pStyle w:val="ListParagraph"/>
              <w:numPr>
                <w:ilvl w:val="0"/>
                <w:numId w:val="5"/>
              </w:num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t>Գործողության նպատակին  նվիրված սարքավորումների և պարագաների գնման ծախսեր,</w:t>
            </w:r>
          </w:p>
        </w:tc>
        <w:tc>
          <w:tcPr>
            <w:tcW w:w="333" w:type="dxa"/>
            <w:gridSpan w:val="2"/>
            <w:tcBorders>
              <w:top w:val="nil"/>
              <w:left w:val="nil"/>
              <w:bottom w:val="nil"/>
              <w:right w:val="nil"/>
            </w:tcBorders>
          </w:tcPr>
          <w:p w14:paraId="7C7AAFB8" w14:textId="77777777" w:rsidR="00495ADE" w:rsidRPr="00AA07B7" w:rsidRDefault="00495ADE" w:rsidP="0001014D">
            <w:pPr>
              <w:pStyle w:val="ListParagraph"/>
              <w:numPr>
                <w:ilvl w:val="0"/>
                <w:numId w:val="26"/>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23D22632" w14:textId="22BE6022" w:rsidR="00495ADE" w:rsidRPr="00AA07B7" w:rsidRDefault="00495ADE" w:rsidP="0001014D">
            <w:pPr>
              <w:pStyle w:val="ListParagraph"/>
              <w:numPr>
                <w:ilvl w:val="0"/>
                <w:numId w:val="27"/>
              </w:numPr>
              <w:tabs>
                <w:tab w:val="left" w:pos="6237"/>
              </w:tabs>
              <w:spacing w:before="60" w:after="60" w:line="240" w:lineRule="auto"/>
              <w:rPr>
                <w:rFonts w:ascii="Times New Roman" w:hAnsi="Times New Roman" w:cs="Times New Roman"/>
              </w:rPr>
            </w:pPr>
            <w:r w:rsidRPr="00AA07B7">
              <w:rPr>
                <w:rFonts w:ascii="Times New Roman" w:hAnsi="Times New Roman" w:cs="Times New Roman"/>
              </w:rPr>
              <w:t>purchase costs for equipment and supplies specifically dedicated to the purposes of the action;</w:t>
            </w:r>
          </w:p>
        </w:tc>
      </w:tr>
      <w:tr w:rsidR="00495ADE" w:rsidRPr="00717728" w14:paraId="7A62332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4"/>
            <w:tcBorders>
              <w:top w:val="nil"/>
              <w:left w:val="nil"/>
              <w:bottom w:val="nil"/>
              <w:right w:val="nil"/>
            </w:tcBorders>
          </w:tcPr>
          <w:p w14:paraId="4F84FCB2" w14:textId="1B258C65" w:rsidR="00495ADE" w:rsidRPr="00AA07B7" w:rsidRDefault="00495ADE" w:rsidP="0001014D">
            <w:pPr>
              <w:pStyle w:val="ListParagraph"/>
              <w:numPr>
                <w:ilvl w:val="0"/>
                <w:numId w:val="5"/>
              </w:num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t>սպառվող նյութերին առնչվող ծախսեր,</w:t>
            </w:r>
          </w:p>
        </w:tc>
        <w:tc>
          <w:tcPr>
            <w:tcW w:w="333" w:type="dxa"/>
            <w:gridSpan w:val="2"/>
            <w:tcBorders>
              <w:top w:val="nil"/>
              <w:left w:val="nil"/>
              <w:bottom w:val="nil"/>
              <w:right w:val="nil"/>
            </w:tcBorders>
          </w:tcPr>
          <w:p w14:paraId="607A7CCA" w14:textId="77777777" w:rsidR="00495ADE" w:rsidRPr="00AA07B7" w:rsidRDefault="00495ADE" w:rsidP="0001014D">
            <w:pPr>
              <w:pStyle w:val="ListParagraph"/>
              <w:numPr>
                <w:ilvl w:val="0"/>
                <w:numId w:val="27"/>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3BDF2383" w14:textId="09B42EF7" w:rsidR="00495ADE" w:rsidRPr="00AA07B7" w:rsidRDefault="00495ADE" w:rsidP="0001014D">
            <w:pPr>
              <w:pStyle w:val="ListParagraph"/>
              <w:numPr>
                <w:ilvl w:val="0"/>
                <w:numId w:val="28"/>
              </w:numPr>
              <w:tabs>
                <w:tab w:val="left" w:pos="6237"/>
              </w:tabs>
              <w:spacing w:before="60" w:after="60" w:line="240" w:lineRule="auto"/>
              <w:rPr>
                <w:rFonts w:ascii="Times New Roman" w:hAnsi="Times New Roman" w:cs="Times New Roman"/>
              </w:rPr>
            </w:pPr>
            <w:r w:rsidRPr="00AA07B7">
              <w:rPr>
                <w:rFonts w:ascii="Times New Roman" w:hAnsi="Times New Roman" w:cs="Times New Roman"/>
              </w:rPr>
              <w:t>costs of consumables;</w:t>
            </w:r>
          </w:p>
        </w:tc>
      </w:tr>
      <w:tr w:rsidR="00495ADE" w:rsidRPr="00717728" w14:paraId="6579BAB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1072"/>
        </w:trPr>
        <w:tc>
          <w:tcPr>
            <w:tcW w:w="6246" w:type="dxa"/>
            <w:gridSpan w:val="4"/>
            <w:tcBorders>
              <w:top w:val="nil"/>
              <w:left w:val="nil"/>
              <w:bottom w:val="nil"/>
              <w:right w:val="nil"/>
            </w:tcBorders>
          </w:tcPr>
          <w:p w14:paraId="1781598C" w14:textId="702805AA" w:rsidR="00495ADE" w:rsidRPr="00AA07B7" w:rsidRDefault="00495ADE">
            <w:pPr>
              <w:pStyle w:val="ListParagraph"/>
              <w:numPr>
                <w:ilvl w:val="0"/>
                <w:numId w:val="5"/>
              </w:num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t xml:space="preserve">գործողության նպատակների համար Ենթադրամաշնորհառուի կողմից շնորհված ծառայությունների և մատակարարման պայմանագրերի ծախսեր, </w:t>
            </w:r>
          </w:p>
        </w:tc>
        <w:tc>
          <w:tcPr>
            <w:tcW w:w="333" w:type="dxa"/>
            <w:gridSpan w:val="2"/>
            <w:tcBorders>
              <w:top w:val="nil"/>
              <w:left w:val="nil"/>
              <w:bottom w:val="nil"/>
              <w:right w:val="nil"/>
            </w:tcBorders>
          </w:tcPr>
          <w:p w14:paraId="155575BF" w14:textId="77777777" w:rsidR="00495ADE" w:rsidRPr="00AA07B7" w:rsidRDefault="00495ADE" w:rsidP="0001014D">
            <w:pPr>
              <w:pStyle w:val="ListParagraph"/>
              <w:numPr>
                <w:ilvl w:val="0"/>
                <w:numId w:val="28"/>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05C158D6" w14:textId="10BBB178" w:rsidR="00495ADE" w:rsidRPr="00AA07B7" w:rsidRDefault="00495ADE" w:rsidP="0001014D">
            <w:pPr>
              <w:pStyle w:val="ListParagraph"/>
              <w:numPr>
                <w:ilvl w:val="0"/>
                <w:numId w:val="29"/>
              </w:num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costs of service and supply contracts awarded by the </w:t>
            </w:r>
            <w:r w:rsidRPr="000941D1">
              <w:rPr>
                <w:rFonts w:ascii="Times New Roman" w:hAnsi="Times New Roman" w:cs="Times New Roman"/>
                <w:bCs/>
              </w:rPr>
              <w:t xml:space="preserve">Sub-Grantee </w:t>
            </w:r>
            <w:r w:rsidRPr="00AA07B7">
              <w:rPr>
                <w:rFonts w:ascii="Times New Roman" w:hAnsi="Times New Roman" w:cs="Times New Roman"/>
              </w:rPr>
              <w:t>for the purposes of the Action;</w:t>
            </w:r>
          </w:p>
        </w:tc>
      </w:tr>
      <w:tr w:rsidR="00495ADE" w:rsidRPr="00717728" w14:paraId="15B3570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9FE0349" w14:textId="23CAD99B" w:rsidR="00495ADE" w:rsidRPr="00717728" w:rsidRDefault="00495ADE" w:rsidP="0001014D">
            <w:pPr>
              <w:pStyle w:val="ListParagraph"/>
              <w:numPr>
                <w:ilvl w:val="0"/>
                <w:numId w:val="5"/>
              </w:numPr>
              <w:autoSpaceDE w:val="0"/>
              <w:autoSpaceDN w:val="0"/>
              <w:adjustRightInd w:val="0"/>
              <w:spacing w:after="120" w:line="259" w:lineRule="auto"/>
              <w:jc w:val="both"/>
              <w:rPr>
                <w:rFonts w:ascii="Times New Roman" w:hAnsi="Times New Roman" w:cs="Times New Roman"/>
                <w:b/>
              </w:rPr>
            </w:pPr>
            <w:r w:rsidRPr="00717728">
              <w:rPr>
                <w:rFonts w:ascii="Times New Roman" w:hAnsi="Times New Roman" w:cs="Times New Roman"/>
              </w:rPr>
              <w:t>Պայմանագրի պահանջներից ուղղակիորեն բխող այլ ծախսեր,</w:t>
            </w:r>
          </w:p>
        </w:tc>
        <w:tc>
          <w:tcPr>
            <w:tcW w:w="333" w:type="dxa"/>
            <w:gridSpan w:val="2"/>
            <w:tcBorders>
              <w:top w:val="nil"/>
              <w:left w:val="nil"/>
              <w:bottom w:val="nil"/>
              <w:right w:val="nil"/>
            </w:tcBorders>
          </w:tcPr>
          <w:p w14:paraId="4206C6B8" w14:textId="77777777" w:rsidR="00495ADE" w:rsidRPr="00717728" w:rsidRDefault="00495ADE" w:rsidP="0001014D">
            <w:pPr>
              <w:pStyle w:val="ListParagraph"/>
              <w:numPr>
                <w:ilvl w:val="0"/>
                <w:numId w:val="29"/>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70D0CF73" w14:textId="0A92EFD0" w:rsidR="00495ADE" w:rsidRPr="00717728" w:rsidRDefault="00495ADE" w:rsidP="0001014D">
            <w:pPr>
              <w:pStyle w:val="ListParagraph"/>
              <w:numPr>
                <w:ilvl w:val="0"/>
                <w:numId w:val="30"/>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other costs deriving directly from the requirements of the Contract;</w:t>
            </w:r>
          </w:p>
        </w:tc>
      </w:tr>
      <w:tr w:rsidR="00495ADE" w:rsidRPr="00717728" w14:paraId="289800B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5B7535A2" w14:textId="048F9FE9" w:rsidR="00495ADE" w:rsidRPr="000D4699" w:rsidRDefault="00495ADE" w:rsidP="0001014D">
            <w:pPr>
              <w:pStyle w:val="ListParagraph"/>
              <w:numPr>
                <w:ilvl w:val="0"/>
                <w:numId w:val="5"/>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Հայտատուների ուղեցույցներով որպես թույլատրելի սահմանված և ծրագրի բյուջեով նախատեսված այլ ծախսեր, որոնք նախատեսված չեն (a)-(e) կետերով:  </w:t>
            </w:r>
          </w:p>
          <w:p w14:paraId="1C1D8E51" w14:textId="1418E2C1" w:rsidR="00495ADE" w:rsidRPr="00717728" w:rsidRDefault="00495ADE" w:rsidP="002154A8">
            <w:pPr>
              <w:tabs>
                <w:tab w:val="left" w:pos="6237"/>
              </w:tabs>
              <w:spacing w:before="60" w:after="60" w:line="240" w:lineRule="auto"/>
              <w:jc w:val="both"/>
              <w:rPr>
                <w:rFonts w:ascii="Times New Roman" w:hAnsi="Times New Roman" w:cs="Times New Roman"/>
              </w:rPr>
            </w:pPr>
          </w:p>
        </w:tc>
        <w:tc>
          <w:tcPr>
            <w:tcW w:w="333" w:type="dxa"/>
            <w:gridSpan w:val="2"/>
            <w:tcBorders>
              <w:top w:val="nil"/>
              <w:left w:val="nil"/>
              <w:bottom w:val="nil"/>
              <w:right w:val="nil"/>
            </w:tcBorders>
          </w:tcPr>
          <w:p w14:paraId="09E7E28D" w14:textId="77777777" w:rsidR="00495ADE" w:rsidRPr="00717728" w:rsidRDefault="00495ADE" w:rsidP="0001014D">
            <w:pPr>
              <w:pStyle w:val="ListParagraph"/>
              <w:numPr>
                <w:ilvl w:val="0"/>
                <w:numId w:val="30"/>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7D25A781" w14:textId="1902579D" w:rsidR="00495ADE" w:rsidRPr="00717728" w:rsidRDefault="00495ADE" w:rsidP="0001014D">
            <w:pPr>
              <w:pStyle w:val="ListParagraph"/>
              <w:numPr>
                <w:ilvl w:val="0"/>
                <w:numId w:val="31"/>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any other cost identified as eligible by the Guidelines for Applicants and identified in the project budget, that is not included in the bullets from (a) to (e).</w:t>
            </w:r>
          </w:p>
        </w:tc>
      </w:tr>
      <w:tr w:rsidR="00495ADE" w:rsidRPr="00717728" w14:paraId="58E455C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A613CAE" w14:textId="754430EE" w:rsidR="00495ADE" w:rsidRPr="00717728" w:rsidRDefault="00495ADE" w:rsidP="002154A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12.3. Թույլատրելի չեն հետևյալ ծախսերը՝</w:t>
            </w:r>
          </w:p>
        </w:tc>
        <w:tc>
          <w:tcPr>
            <w:tcW w:w="333" w:type="dxa"/>
            <w:gridSpan w:val="2"/>
            <w:tcBorders>
              <w:top w:val="nil"/>
              <w:left w:val="nil"/>
              <w:bottom w:val="nil"/>
              <w:right w:val="nil"/>
            </w:tcBorders>
          </w:tcPr>
          <w:p w14:paraId="1515E0B5" w14:textId="77777777" w:rsidR="00495ADE" w:rsidRPr="00717728" w:rsidRDefault="00495ADE" w:rsidP="0078421F">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F61E03D" w14:textId="1FEAFDC3" w:rsidR="00495ADE" w:rsidRPr="00717728" w:rsidRDefault="00495ADE" w:rsidP="0078421F">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12.3. The following costs shall not be considered eligible:</w:t>
            </w:r>
          </w:p>
        </w:tc>
      </w:tr>
      <w:tr w:rsidR="00495ADE" w:rsidRPr="00717728" w14:paraId="0B489B4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ABAC5E6" w14:textId="5A8A1B14"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պարտքեր և պարտքերի սպասարկման վճարներ (տոկոսագումարներ)</w:t>
            </w:r>
          </w:p>
        </w:tc>
        <w:tc>
          <w:tcPr>
            <w:tcW w:w="333" w:type="dxa"/>
            <w:gridSpan w:val="2"/>
            <w:tcBorders>
              <w:top w:val="nil"/>
              <w:left w:val="nil"/>
              <w:bottom w:val="nil"/>
              <w:right w:val="nil"/>
            </w:tcBorders>
          </w:tcPr>
          <w:p w14:paraId="38B3B5DA" w14:textId="77777777" w:rsidR="00495ADE" w:rsidRPr="00717728" w:rsidRDefault="00495ADE" w:rsidP="0001014D">
            <w:pPr>
              <w:pStyle w:val="ListParagraph"/>
              <w:numPr>
                <w:ilvl w:val="0"/>
                <w:numId w:val="1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A46DAE6" w14:textId="035A4272" w:rsidR="00495ADE" w:rsidRPr="00717728" w:rsidRDefault="00495ADE" w:rsidP="0001014D">
            <w:pPr>
              <w:pStyle w:val="ListParagraph"/>
              <w:numPr>
                <w:ilvl w:val="0"/>
                <w:numId w:val="32"/>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debts and debt service charges (interest);</w:t>
            </w:r>
          </w:p>
        </w:tc>
      </w:tr>
      <w:tr w:rsidR="00495ADE" w:rsidRPr="00717728" w14:paraId="264EFC4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8657E60" w14:textId="3689C1EA"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lang w:val="af-ZA"/>
              </w:rPr>
            </w:pPr>
            <w:r w:rsidRPr="00717728">
              <w:rPr>
                <w:rFonts w:ascii="Times New Roman" w:hAnsi="Times New Roman" w:cs="Times New Roman"/>
              </w:rPr>
              <w:t>կորուստների, պարտքերի կամ ապագա հավանական պարտավորությունների պահուստներ,</w:t>
            </w:r>
          </w:p>
        </w:tc>
        <w:tc>
          <w:tcPr>
            <w:tcW w:w="333" w:type="dxa"/>
            <w:gridSpan w:val="2"/>
            <w:tcBorders>
              <w:top w:val="nil"/>
              <w:left w:val="nil"/>
              <w:bottom w:val="nil"/>
              <w:right w:val="nil"/>
            </w:tcBorders>
          </w:tcPr>
          <w:p w14:paraId="7A1AECE9" w14:textId="77777777" w:rsidR="00495ADE" w:rsidRPr="00717728" w:rsidRDefault="00495ADE" w:rsidP="0001014D">
            <w:pPr>
              <w:pStyle w:val="ListParagraph"/>
              <w:numPr>
                <w:ilvl w:val="0"/>
                <w:numId w:val="32"/>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58AE0051" w14:textId="61544D00" w:rsidR="00495ADE" w:rsidRPr="00717728" w:rsidRDefault="00495ADE" w:rsidP="0001014D">
            <w:pPr>
              <w:pStyle w:val="ListParagraph"/>
              <w:numPr>
                <w:ilvl w:val="0"/>
                <w:numId w:val="33"/>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provisions for losses, debts or potential future liabilities;</w:t>
            </w:r>
          </w:p>
        </w:tc>
      </w:tr>
      <w:tr w:rsidR="00495ADE" w:rsidRPr="00717728" w14:paraId="53A42B1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3CEDEC6" w14:textId="1232263A"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b/>
              </w:rPr>
            </w:pPr>
            <w:r w:rsidRPr="00717728">
              <w:rPr>
                <w:rFonts w:ascii="Times New Roman" w:hAnsi="Times New Roman" w:cs="Times New Roman"/>
              </w:rPr>
              <w:t>Ենթադրամաշնորհառուի կողմից հայտարարագրված և Եվրոպական Միության դրամաշնորհային աջակցությամբ (այդ թվում` Զարգացման եվրոպական հիմնադրամի միջոցով) ֆինանսավորվող մեկ այլ գործողության կամ աշխատանքային ծրագրի ծախսեր,</w:t>
            </w:r>
          </w:p>
        </w:tc>
        <w:tc>
          <w:tcPr>
            <w:tcW w:w="333" w:type="dxa"/>
            <w:gridSpan w:val="2"/>
            <w:tcBorders>
              <w:top w:val="nil"/>
              <w:left w:val="nil"/>
              <w:bottom w:val="nil"/>
              <w:right w:val="nil"/>
            </w:tcBorders>
          </w:tcPr>
          <w:p w14:paraId="6BADC4C8" w14:textId="77777777" w:rsidR="00495ADE" w:rsidRPr="00717728" w:rsidRDefault="00495ADE" w:rsidP="0001014D">
            <w:pPr>
              <w:pStyle w:val="ListParagraph"/>
              <w:numPr>
                <w:ilvl w:val="0"/>
                <w:numId w:val="33"/>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2453237" w14:textId="75FFA6C5" w:rsidR="00495ADE" w:rsidRPr="00717728" w:rsidRDefault="00495ADE" w:rsidP="0001014D">
            <w:pPr>
              <w:pStyle w:val="ListParagraph"/>
              <w:numPr>
                <w:ilvl w:val="0"/>
                <w:numId w:val="34"/>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costs declared by the Sub-Grantee and financed by another action or work programme receiving a European Union grant (including through the European Development Fund);</w:t>
            </w:r>
          </w:p>
        </w:tc>
      </w:tr>
      <w:tr w:rsidR="00495ADE" w:rsidRPr="00717728" w14:paraId="2FBEDCF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C8B282B" w14:textId="62B5AFDD"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հողերի կամ շենքերի գնումներ, </w:t>
            </w:r>
          </w:p>
        </w:tc>
        <w:tc>
          <w:tcPr>
            <w:tcW w:w="333" w:type="dxa"/>
            <w:gridSpan w:val="2"/>
            <w:tcBorders>
              <w:top w:val="nil"/>
              <w:left w:val="nil"/>
              <w:bottom w:val="nil"/>
              <w:right w:val="nil"/>
            </w:tcBorders>
          </w:tcPr>
          <w:p w14:paraId="68A3695C" w14:textId="77777777" w:rsidR="00495ADE" w:rsidRPr="00717728" w:rsidRDefault="00495ADE" w:rsidP="0001014D">
            <w:pPr>
              <w:pStyle w:val="ListParagraph"/>
              <w:numPr>
                <w:ilvl w:val="0"/>
                <w:numId w:val="34"/>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190EC1E" w14:textId="0463182F" w:rsidR="00495ADE" w:rsidRPr="00717728" w:rsidRDefault="00495ADE" w:rsidP="0001014D">
            <w:pPr>
              <w:pStyle w:val="ListParagraph"/>
              <w:numPr>
                <w:ilvl w:val="0"/>
                <w:numId w:val="3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purchases of land or buildings;</w:t>
            </w:r>
          </w:p>
        </w:tc>
      </w:tr>
      <w:tr w:rsidR="00495ADE" w:rsidRPr="00717728" w14:paraId="645A50F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39ECA67" w14:textId="0327B8E1"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արտարժույթի փոխանակման հետևանքով առաջացած կորուստներ,</w:t>
            </w:r>
          </w:p>
        </w:tc>
        <w:tc>
          <w:tcPr>
            <w:tcW w:w="333" w:type="dxa"/>
            <w:gridSpan w:val="2"/>
            <w:tcBorders>
              <w:top w:val="nil"/>
              <w:left w:val="nil"/>
              <w:bottom w:val="nil"/>
              <w:right w:val="nil"/>
            </w:tcBorders>
          </w:tcPr>
          <w:p w14:paraId="107CEDD4" w14:textId="77777777" w:rsidR="00495ADE" w:rsidRPr="00717728" w:rsidRDefault="00495ADE" w:rsidP="0001014D">
            <w:pPr>
              <w:pStyle w:val="ListParagraph"/>
              <w:numPr>
                <w:ilvl w:val="0"/>
                <w:numId w:val="3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DC7C842" w14:textId="600DE7A7" w:rsidR="00495ADE" w:rsidRPr="00717728" w:rsidRDefault="00495ADE" w:rsidP="0001014D">
            <w:pPr>
              <w:pStyle w:val="ListParagraph"/>
              <w:numPr>
                <w:ilvl w:val="0"/>
                <w:numId w:val="36"/>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currency exchange losses;</w:t>
            </w:r>
          </w:p>
        </w:tc>
      </w:tr>
      <w:tr w:rsidR="00495ADE" w:rsidRPr="00717728" w14:paraId="61198EA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C91A743" w14:textId="29598654"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ծախսեր, որոնք կատարվել են մինչև ենթադրամաշնորհային Պայմանագրի ստորագրումը,</w:t>
            </w:r>
          </w:p>
        </w:tc>
        <w:tc>
          <w:tcPr>
            <w:tcW w:w="333" w:type="dxa"/>
            <w:gridSpan w:val="2"/>
            <w:tcBorders>
              <w:top w:val="nil"/>
              <w:left w:val="nil"/>
              <w:bottom w:val="nil"/>
              <w:right w:val="nil"/>
            </w:tcBorders>
          </w:tcPr>
          <w:p w14:paraId="1406C1DF" w14:textId="77777777" w:rsidR="00495ADE" w:rsidRPr="00717728" w:rsidRDefault="00495ADE" w:rsidP="0001014D">
            <w:pPr>
              <w:pStyle w:val="ListParagraph"/>
              <w:numPr>
                <w:ilvl w:val="0"/>
                <w:numId w:val="36"/>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222EE38" w14:textId="23BC90AB" w:rsidR="00495ADE" w:rsidRPr="00717728" w:rsidRDefault="00495ADE" w:rsidP="0001014D">
            <w:pPr>
              <w:pStyle w:val="ListParagraph"/>
              <w:numPr>
                <w:ilvl w:val="0"/>
                <w:numId w:val="37"/>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costs that are incurred prior to the signature of the Sub-Grant contract;</w:t>
            </w:r>
          </w:p>
        </w:tc>
      </w:tr>
      <w:tr w:rsidR="00495ADE" w:rsidRPr="00717728" w14:paraId="12D682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2C82218A" w14:textId="0150CEA3"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բնաիրային </w:t>
            </w:r>
            <w:r>
              <w:rPr>
                <w:rFonts w:ascii="Times New Roman" w:hAnsi="Times New Roman" w:cs="Times New Roman"/>
              </w:rPr>
              <w:t>աջակցությունը</w:t>
            </w:r>
            <w:r w:rsidRPr="00717728">
              <w:rPr>
                <w:rFonts w:ascii="Times New Roman" w:hAnsi="Times New Roman" w:cs="Times New Roman"/>
              </w:rPr>
              <w:t xml:space="preserve">, </w:t>
            </w:r>
          </w:p>
        </w:tc>
        <w:tc>
          <w:tcPr>
            <w:tcW w:w="333" w:type="dxa"/>
            <w:gridSpan w:val="2"/>
            <w:tcBorders>
              <w:top w:val="nil"/>
              <w:left w:val="nil"/>
              <w:bottom w:val="nil"/>
              <w:right w:val="nil"/>
            </w:tcBorders>
          </w:tcPr>
          <w:p w14:paraId="091910D6" w14:textId="77777777" w:rsidR="00495ADE" w:rsidRPr="00717728" w:rsidRDefault="00495ADE" w:rsidP="0001014D">
            <w:pPr>
              <w:pStyle w:val="ListParagraph"/>
              <w:numPr>
                <w:ilvl w:val="0"/>
                <w:numId w:val="37"/>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74D7D8F" w14:textId="62484201" w:rsidR="00495ADE" w:rsidRPr="00717728" w:rsidRDefault="00495ADE" w:rsidP="0001014D">
            <w:pPr>
              <w:pStyle w:val="ListParagraph"/>
              <w:numPr>
                <w:ilvl w:val="0"/>
                <w:numId w:val="38"/>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in kind contributions;</w:t>
            </w:r>
          </w:p>
        </w:tc>
      </w:tr>
      <w:tr w:rsidR="00495ADE" w:rsidRPr="00717728" w14:paraId="07D64F5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4B56B45" w14:textId="6F48EF0D"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վարկեր` երրորդ կողմերին, </w:t>
            </w:r>
          </w:p>
        </w:tc>
        <w:tc>
          <w:tcPr>
            <w:tcW w:w="333" w:type="dxa"/>
            <w:gridSpan w:val="2"/>
            <w:tcBorders>
              <w:top w:val="nil"/>
              <w:left w:val="nil"/>
              <w:bottom w:val="nil"/>
              <w:right w:val="nil"/>
            </w:tcBorders>
          </w:tcPr>
          <w:p w14:paraId="33064EAF" w14:textId="77777777" w:rsidR="00495ADE" w:rsidRPr="00717728" w:rsidRDefault="00495ADE" w:rsidP="0001014D">
            <w:pPr>
              <w:pStyle w:val="ListParagraph"/>
              <w:numPr>
                <w:ilvl w:val="0"/>
                <w:numId w:val="38"/>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EE0F9A7" w14:textId="21A78782" w:rsidR="00495ADE" w:rsidRPr="00717728" w:rsidRDefault="00495ADE" w:rsidP="0001014D">
            <w:pPr>
              <w:pStyle w:val="ListParagraph"/>
              <w:numPr>
                <w:ilvl w:val="0"/>
                <w:numId w:val="39"/>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credits to third parties;</w:t>
            </w:r>
          </w:p>
        </w:tc>
      </w:tr>
      <w:tr w:rsidR="00495ADE" w:rsidRPr="00717728" w14:paraId="76EBDAF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4"/>
            <w:tcBorders>
              <w:top w:val="nil"/>
              <w:left w:val="nil"/>
              <w:bottom w:val="nil"/>
              <w:right w:val="nil"/>
            </w:tcBorders>
          </w:tcPr>
          <w:p w14:paraId="3A8AC374" w14:textId="71009626"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ԱԱՀ և մաքսատուրքեր,</w:t>
            </w:r>
          </w:p>
        </w:tc>
        <w:tc>
          <w:tcPr>
            <w:tcW w:w="333" w:type="dxa"/>
            <w:gridSpan w:val="2"/>
            <w:tcBorders>
              <w:top w:val="nil"/>
              <w:left w:val="nil"/>
              <w:bottom w:val="nil"/>
              <w:right w:val="nil"/>
            </w:tcBorders>
          </w:tcPr>
          <w:p w14:paraId="2CA19097" w14:textId="77777777" w:rsidR="00495ADE" w:rsidRPr="00717728" w:rsidRDefault="00495ADE" w:rsidP="0001014D">
            <w:pPr>
              <w:pStyle w:val="ListParagraph"/>
              <w:numPr>
                <w:ilvl w:val="0"/>
                <w:numId w:val="39"/>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3A75EC7" w14:textId="14055BDB" w:rsidR="00495ADE" w:rsidRPr="00717728" w:rsidRDefault="00495ADE" w:rsidP="0001014D">
            <w:pPr>
              <w:pStyle w:val="ListParagraph"/>
              <w:numPr>
                <w:ilvl w:val="0"/>
                <w:numId w:val="40"/>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VAT and customs duties;</w:t>
            </w:r>
          </w:p>
        </w:tc>
      </w:tr>
      <w:tr w:rsidR="00495ADE" w:rsidRPr="00717728" w14:paraId="226F27F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513C64D6" w14:textId="1839ACF7"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b/>
              </w:rPr>
            </w:pPr>
            <w:r>
              <w:rPr>
                <w:rFonts w:ascii="Times New Roman" w:hAnsi="Times New Roman" w:cs="Times New Roman"/>
              </w:rPr>
              <w:t>կատարողականի</w:t>
            </w:r>
            <w:r w:rsidRPr="00717728">
              <w:rPr>
                <w:rFonts w:ascii="Times New Roman" w:hAnsi="Times New Roman" w:cs="Times New Roman"/>
              </w:rPr>
              <w:t xml:space="preserve">  վրա հիմնված պարգևավճարներ, որոնք ներառված են անձնակազմի ծախսերում,</w:t>
            </w:r>
          </w:p>
        </w:tc>
        <w:tc>
          <w:tcPr>
            <w:tcW w:w="333" w:type="dxa"/>
            <w:gridSpan w:val="2"/>
            <w:tcBorders>
              <w:top w:val="nil"/>
              <w:left w:val="nil"/>
              <w:bottom w:val="nil"/>
              <w:right w:val="nil"/>
            </w:tcBorders>
          </w:tcPr>
          <w:p w14:paraId="7A0C65F7" w14:textId="77777777" w:rsidR="00495ADE" w:rsidRPr="00717728" w:rsidRDefault="00495ADE" w:rsidP="003460EA">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14F5529E" w14:textId="0CB6BE0E" w:rsidR="00495ADE" w:rsidRPr="00717728" w:rsidRDefault="00495ADE" w:rsidP="0001014D">
            <w:pPr>
              <w:pStyle w:val="ListParagraph"/>
              <w:numPr>
                <w:ilvl w:val="0"/>
                <w:numId w:val="40"/>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performance-based bonuses included in costs of staff;</w:t>
            </w:r>
          </w:p>
        </w:tc>
      </w:tr>
      <w:tr w:rsidR="00495ADE" w:rsidRPr="00717728" w14:paraId="31D7DA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D5C8A18" w14:textId="4DAAAACB"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spacing w:val="-2"/>
              </w:rPr>
            </w:pPr>
            <w:r w:rsidRPr="00717728">
              <w:rPr>
                <w:rFonts w:ascii="Times New Roman" w:hAnsi="Times New Roman" w:cs="Times New Roman"/>
              </w:rPr>
              <w:t>ծանկացած այլ ծախս, որը անմիջականորեն կապված չէ և անհրաժեշտ չէ Գործողության իրականացման համար,</w:t>
            </w:r>
          </w:p>
        </w:tc>
        <w:tc>
          <w:tcPr>
            <w:tcW w:w="333" w:type="dxa"/>
            <w:gridSpan w:val="2"/>
            <w:tcBorders>
              <w:top w:val="nil"/>
              <w:left w:val="nil"/>
              <w:bottom w:val="nil"/>
              <w:right w:val="nil"/>
            </w:tcBorders>
          </w:tcPr>
          <w:p w14:paraId="3F871639" w14:textId="77777777" w:rsidR="00495ADE" w:rsidRPr="00717728" w:rsidRDefault="00495ADE" w:rsidP="0001014D">
            <w:pPr>
              <w:pStyle w:val="ListParagraph"/>
              <w:numPr>
                <w:ilvl w:val="0"/>
                <w:numId w:val="40"/>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22A7504" w14:textId="48B0BE73" w:rsidR="00495ADE" w:rsidRPr="00717728" w:rsidRDefault="00495ADE" w:rsidP="0001014D">
            <w:pPr>
              <w:pStyle w:val="ListParagraph"/>
              <w:numPr>
                <w:ilvl w:val="0"/>
                <w:numId w:val="41"/>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any other cost that is not strictly related and necessary to the implementation of the Action.</w:t>
            </w:r>
          </w:p>
        </w:tc>
      </w:tr>
      <w:tr w:rsidR="00495ADE" w:rsidRPr="00717728" w14:paraId="12F7CA4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C8A5C7F" w14:textId="5DC3ADB8" w:rsidR="00495ADE" w:rsidRPr="00717728" w:rsidRDefault="00495ADE" w:rsidP="0001014D">
            <w:pPr>
              <w:pStyle w:val="ListParagraph"/>
              <w:numPr>
                <w:ilvl w:val="0"/>
                <w:numId w:val="6"/>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lastRenderedPageBreak/>
              <w:t>ցանկացած այլ ծախս, որը նշված չէ 12.2-րդ հոդվածում:</w:t>
            </w:r>
          </w:p>
        </w:tc>
        <w:tc>
          <w:tcPr>
            <w:tcW w:w="333" w:type="dxa"/>
            <w:gridSpan w:val="2"/>
            <w:tcBorders>
              <w:top w:val="nil"/>
              <w:left w:val="nil"/>
              <w:bottom w:val="nil"/>
              <w:right w:val="nil"/>
            </w:tcBorders>
          </w:tcPr>
          <w:p w14:paraId="236119CE" w14:textId="77777777" w:rsidR="00495ADE" w:rsidRPr="00717728" w:rsidRDefault="00495ADE" w:rsidP="0001014D">
            <w:pPr>
              <w:pStyle w:val="ListParagraph"/>
              <w:numPr>
                <w:ilvl w:val="0"/>
                <w:numId w:val="41"/>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30B48E1" w14:textId="3C6C5762" w:rsidR="00495ADE" w:rsidRPr="00717728" w:rsidRDefault="00495ADE" w:rsidP="0001014D">
            <w:pPr>
              <w:pStyle w:val="ListParagraph"/>
              <w:numPr>
                <w:ilvl w:val="0"/>
                <w:numId w:val="42"/>
              </w:numPr>
              <w:tabs>
                <w:tab w:val="left" w:pos="6237"/>
              </w:tabs>
              <w:spacing w:before="60" w:after="60" w:line="240" w:lineRule="auto"/>
              <w:jc w:val="both"/>
              <w:rPr>
                <w:rFonts w:ascii="Times New Roman" w:hAnsi="Times New Roman" w:cs="Times New Roman"/>
                <w:b/>
                <w:bCs/>
                <w:spacing w:val="-2"/>
              </w:rPr>
            </w:pPr>
            <w:r w:rsidRPr="00717728">
              <w:rPr>
                <w:rFonts w:ascii="Times New Roman" w:hAnsi="Times New Roman" w:cs="Times New Roman"/>
              </w:rPr>
              <w:t>any other cost not mentioned under 12.2.</w:t>
            </w:r>
          </w:p>
        </w:tc>
      </w:tr>
      <w:tr w:rsidR="00495ADE" w:rsidRPr="00717728" w14:paraId="2361AFAB" w14:textId="77777777" w:rsidTr="000941D1">
        <w:trPr>
          <w:gridAfter w:val="1"/>
          <w:wAfter w:w="93" w:type="dxa"/>
        </w:trPr>
        <w:tc>
          <w:tcPr>
            <w:tcW w:w="6379" w:type="dxa"/>
            <w:gridSpan w:val="5"/>
            <w:tcBorders>
              <w:top w:val="nil"/>
              <w:left w:val="nil"/>
              <w:bottom w:val="nil"/>
              <w:right w:val="nil"/>
            </w:tcBorders>
          </w:tcPr>
          <w:p w14:paraId="0F41DA20" w14:textId="50C929EE" w:rsidR="00495ADE" w:rsidRPr="00717728" w:rsidRDefault="0001014D" w:rsidP="003460EA">
            <w:pPr>
              <w:tabs>
                <w:tab w:val="left" w:pos="6864"/>
              </w:tabs>
              <w:spacing w:before="60" w:after="60" w:line="240" w:lineRule="auto"/>
              <w:rPr>
                <w:rFonts w:ascii="Times New Roman" w:hAnsi="Times New Roman" w:cs="Times New Roman"/>
                <w:b/>
              </w:rPr>
            </w:pPr>
            <w:r w:rsidRPr="00717728">
              <w:rPr>
                <w:rFonts w:ascii="Times New Roman" w:hAnsi="Times New Roman" w:cs="Times New Roman"/>
                <w:b/>
              </w:rPr>
              <w:t>ՀՈԴՎԱԾ 13 — Իրականացում</w:t>
            </w:r>
          </w:p>
        </w:tc>
        <w:tc>
          <w:tcPr>
            <w:tcW w:w="4095" w:type="dxa"/>
            <w:gridSpan w:val="2"/>
            <w:tcBorders>
              <w:top w:val="nil"/>
              <w:left w:val="nil"/>
              <w:bottom w:val="nil"/>
              <w:right w:val="nil"/>
            </w:tcBorders>
          </w:tcPr>
          <w:p w14:paraId="426121FD" w14:textId="2C395596" w:rsidR="00495ADE" w:rsidRPr="00717728" w:rsidRDefault="00495ADE" w:rsidP="003460EA">
            <w:pPr>
              <w:tabs>
                <w:tab w:val="left" w:pos="6864"/>
              </w:tabs>
              <w:spacing w:before="60" w:after="60" w:line="240" w:lineRule="auto"/>
              <w:rPr>
                <w:rFonts w:ascii="Times New Roman" w:hAnsi="Times New Roman" w:cs="Times New Roman"/>
                <w:sz w:val="16"/>
                <w:szCs w:val="16"/>
              </w:rPr>
            </w:pPr>
            <w:r w:rsidRPr="00717728">
              <w:rPr>
                <w:rFonts w:ascii="Times New Roman" w:hAnsi="Times New Roman" w:cs="Times New Roman"/>
                <w:sz w:val="16"/>
                <w:szCs w:val="16"/>
              </w:rPr>
              <w:tab/>
            </w:r>
            <w:bookmarkStart w:id="27" w:name="_Toc67590180"/>
            <w:r w:rsidRPr="00717728">
              <w:rPr>
                <w:rFonts w:ascii="Times New Roman" w:hAnsi="Times New Roman" w:cs="Times New Roman"/>
                <w:b/>
              </w:rPr>
              <w:t>ARTICLE 13 — Implementation</w:t>
            </w:r>
            <w:bookmarkEnd w:id="27"/>
          </w:p>
        </w:tc>
      </w:tr>
      <w:tr w:rsidR="00495ADE" w:rsidRPr="00717728" w14:paraId="53F4913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59CF4E8" w14:textId="3831C4AE" w:rsidR="00495ADE" w:rsidRPr="00AA07B7" w:rsidRDefault="00495ADE" w:rsidP="000941D1">
            <w:pPr>
              <w:tabs>
                <w:tab w:val="left" w:pos="6237"/>
              </w:tabs>
              <w:spacing w:before="60" w:after="60" w:line="240" w:lineRule="auto"/>
              <w:jc w:val="both"/>
              <w:rPr>
                <w:rFonts w:ascii="Times New Roman" w:hAnsi="Times New Roman" w:cs="Times New Roman"/>
                <w:b/>
                <w:bCs/>
              </w:rPr>
            </w:pPr>
            <w:r w:rsidRPr="00AA07B7">
              <w:rPr>
                <w:rFonts w:ascii="Times New Roman" w:hAnsi="Times New Roman" w:cs="Times New Roman"/>
              </w:rPr>
              <w:t xml:space="preserve">13.1 Եթե Գործողության իրականացման նպատակով </w:t>
            </w:r>
            <w:r w:rsidRPr="000941D1">
              <w:rPr>
                <w:rFonts w:ascii="Times New Roman" w:hAnsi="Times New Roman" w:cs="Times New Roman"/>
              </w:rPr>
              <w:t xml:space="preserve">Ենթադրամաշնորհառուից </w:t>
            </w:r>
            <w:r w:rsidRPr="00AA07B7">
              <w:rPr>
                <w:rFonts w:ascii="Times New Roman" w:hAnsi="Times New Roman" w:cs="Times New Roman"/>
              </w:rPr>
              <w:t>պահանջվում է գնել ապրանքներ կամ ծառայություններ, ապա գնումների ընթացակարգերը պետք է համապատասխանեն «Գնումների մասին»  ՀՀ օրենքին՝ հիմնվելով թափանցիկության, հավասար վերաբերմունքի, բաց և ազատ մրցակցության խրախուսման սկզբունքների վրա:</w:t>
            </w:r>
          </w:p>
        </w:tc>
        <w:tc>
          <w:tcPr>
            <w:tcW w:w="333" w:type="dxa"/>
            <w:gridSpan w:val="2"/>
            <w:tcBorders>
              <w:top w:val="nil"/>
              <w:left w:val="nil"/>
              <w:bottom w:val="nil"/>
              <w:right w:val="nil"/>
            </w:tcBorders>
          </w:tcPr>
          <w:p w14:paraId="49B50F8E" w14:textId="77777777" w:rsidR="00495ADE" w:rsidRPr="00AA07B7" w:rsidRDefault="00495ADE" w:rsidP="005C7370">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216C548E" w14:textId="060736CF" w:rsidR="00495ADE" w:rsidRPr="00AA07B7" w:rsidRDefault="00495ADE" w:rsidP="005C7370">
            <w:pPr>
              <w:tabs>
                <w:tab w:val="left" w:pos="6237"/>
              </w:tabs>
              <w:spacing w:before="60" w:after="60" w:line="240" w:lineRule="auto"/>
              <w:rPr>
                <w:rFonts w:ascii="Times New Roman" w:hAnsi="Times New Roman" w:cs="Times New Roman"/>
                <w:b/>
              </w:rPr>
            </w:pPr>
            <w:r w:rsidRPr="00AA07B7">
              <w:rPr>
                <w:rFonts w:ascii="Times New Roman" w:hAnsi="Times New Roman" w:cs="Times New Roman"/>
              </w:rPr>
              <w:t xml:space="preserve">13.1 If the implementation of the Action requires the </w:t>
            </w:r>
            <w:r w:rsidRPr="000941D1">
              <w:rPr>
                <w:rFonts w:ascii="Times New Roman" w:hAnsi="Times New Roman" w:cs="Times New Roman"/>
              </w:rPr>
              <w:t xml:space="preserve">Sub-Grantee </w:t>
            </w:r>
            <w:r w:rsidRPr="00AA07B7">
              <w:rPr>
                <w:rFonts w:ascii="Times New Roman" w:hAnsi="Times New Roman" w:cs="Times New Roman"/>
              </w:rPr>
              <w:t>to procure goods or services, the procurement procedures shall be conducted according to the Armenian Law, in compliance with the principles of transparency, equal treatment, and encouraging open and free competition.</w:t>
            </w:r>
          </w:p>
        </w:tc>
      </w:tr>
      <w:tr w:rsidR="00495ADE" w:rsidRPr="00717728" w14:paraId="3B0BB41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C198E79" w14:textId="1BD37D37" w:rsidR="00495ADE" w:rsidRPr="00AA07B7" w:rsidRDefault="00495ADE" w:rsidP="00056A13">
            <w:p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t xml:space="preserve">13.2 </w:t>
            </w:r>
            <w:r w:rsidRPr="000941D1">
              <w:rPr>
                <w:rFonts w:ascii="Times New Roman" w:hAnsi="Times New Roman" w:cs="Times New Roman"/>
              </w:rPr>
              <w:t>Ենթադրամաշնորհառուն</w:t>
            </w:r>
            <w:r w:rsidR="003A3A12" w:rsidRPr="000941D1">
              <w:rPr>
                <w:rFonts w:ascii="Times New Roman" w:hAnsi="Times New Roman" w:cs="Times New Roman"/>
              </w:rPr>
              <w:t xml:space="preserve"> </w:t>
            </w:r>
            <w:r w:rsidRPr="00AA07B7">
              <w:rPr>
                <w:rFonts w:ascii="Times New Roman" w:hAnsi="Times New Roman" w:cs="Times New Roman"/>
              </w:rPr>
              <w:t>պետք է պահպանեն գնումների ընթացակարգերի վերաբերյալ բոլոր փաստաթղթերը:</w:t>
            </w:r>
          </w:p>
          <w:p w14:paraId="4C55FAC6" w14:textId="77777777" w:rsidR="00495ADE" w:rsidRPr="00AA07B7" w:rsidRDefault="00495ADE" w:rsidP="00056A13">
            <w:pPr>
              <w:tabs>
                <w:tab w:val="left" w:pos="6237"/>
              </w:tabs>
              <w:spacing w:before="60" w:after="60" w:line="240" w:lineRule="auto"/>
              <w:rPr>
                <w:rFonts w:ascii="Times New Roman" w:hAnsi="Times New Roman" w:cs="Times New Roman"/>
                <w:b/>
                <w:bCs/>
              </w:rPr>
            </w:pPr>
          </w:p>
        </w:tc>
        <w:tc>
          <w:tcPr>
            <w:tcW w:w="333" w:type="dxa"/>
            <w:gridSpan w:val="2"/>
            <w:tcBorders>
              <w:top w:val="nil"/>
              <w:left w:val="nil"/>
              <w:bottom w:val="nil"/>
              <w:right w:val="nil"/>
            </w:tcBorders>
          </w:tcPr>
          <w:p w14:paraId="4320B138" w14:textId="77777777" w:rsidR="00495ADE" w:rsidRPr="00AA07B7" w:rsidRDefault="00495ADE" w:rsidP="00044FA8">
            <w:pPr>
              <w:tabs>
                <w:tab w:val="left" w:pos="6237"/>
              </w:tabs>
              <w:autoSpaceDE w:val="0"/>
              <w:autoSpaceDN w:val="0"/>
              <w:adjustRightInd w:val="0"/>
              <w:spacing w:before="60" w:after="60" w:line="240" w:lineRule="auto"/>
              <w:rPr>
                <w:rFonts w:ascii="Times New Roman" w:hAnsi="Times New Roman" w:cs="Times New Roman"/>
              </w:rPr>
            </w:pPr>
          </w:p>
        </w:tc>
        <w:tc>
          <w:tcPr>
            <w:tcW w:w="3895" w:type="dxa"/>
            <w:tcBorders>
              <w:top w:val="nil"/>
              <w:left w:val="nil"/>
              <w:bottom w:val="nil"/>
              <w:right w:val="nil"/>
            </w:tcBorders>
          </w:tcPr>
          <w:p w14:paraId="1982693B" w14:textId="3BAD4461" w:rsidR="00495ADE" w:rsidRPr="00AA07B7" w:rsidRDefault="00495ADE" w:rsidP="00044FA8">
            <w:pPr>
              <w:tabs>
                <w:tab w:val="left" w:pos="6237"/>
              </w:tabs>
              <w:autoSpaceDE w:val="0"/>
              <w:autoSpaceDN w:val="0"/>
              <w:adjustRightInd w:val="0"/>
              <w:spacing w:before="60" w:after="60" w:line="240" w:lineRule="auto"/>
              <w:rPr>
                <w:rFonts w:ascii="Times New Roman" w:hAnsi="Times New Roman" w:cs="Times New Roman"/>
                <w:b/>
                <w:bCs/>
              </w:rPr>
            </w:pPr>
            <w:r w:rsidRPr="00AA07B7">
              <w:rPr>
                <w:rFonts w:ascii="Times New Roman" w:hAnsi="Times New Roman" w:cs="Times New Roman"/>
              </w:rPr>
              <w:t xml:space="preserve">13.2 The </w:t>
            </w:r>
            <w:r w:rsidRPr="000941D1">
              <w:rPr>
                <w:rFonts w:ascii="Times New Roman" w:hAnsi="Times New Roman" w:cs="Times New Roman"/>
              </w:rPr>
              <w:t xml:space="preserve">Sub-Grantee </w:t>
            </w:r>
            <w:r w:rsidRPr="00AA07B7">
              <w:rPr>
                <w:rFonts w:ascii="Times New Roman" w:hAnsi="Times New Roman" w:cs="Times New Roman"/>
              </w:rPr>
              <w:t>shall maintain all records of the procurement procedures.</w:t>
            </w:r>
          </w:p>
        </w:tc>
      </w:tr>
      <w:tr w:rsidR="00495ADE" w:rsidRPr="00717728" w14:paraId="0FFB2EB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A1D4C25" w14:textId="6C6386CA" w:rsidR="00495ADE" w:rsidRPr="00717728" w:rsidRDefault="00495ADE" w:rsidP="00056A13">
            <w:pPr>
              <w:autoSpaceDE w:val="0"/>
              <w:autoSpaceDN w:val="0"/>
              <w:adjustRightInd w:val="0"/>
              <w:spacing w:after="120" w:line="259" w:lineRule="auto"/>
              <w:jc w:val="both"/>
              <w:rPr>
                <w:rFonts w:ascii="Times New Roman" w:hAnsi="Times New Roman" w:cs="Times New Roman"/>
                <w:b/>
              </w:rPr>
            </w:pPr>
            <w:bookmarkStart w:id="28" w:name="_Toc70236981"/>
            <w:r w:rsidRPr="00717728">
              <w:rPr>
                <w:rFonts w:ascii="Times New Roman" w:hAnsi="Times New Roman" w:cs="Times New Roman"/>
                <w:b/>
              </w:rPr>
              <w:t xml:space="preserve">ՀՈԴՎԱԾ 14 </w:t>
            </w:r>
            <w:r w:rsidRPr="00717728">
              <w:rPr>
                <w:rFonts w:ascii="Times New Roman" w:eastAsiaTheme="minorHAnsi" w:hAnsi="Times New Roman" w:cs="Times New Roman"/>
                <w:b/>
              </w:rPr>
              <w:t>– Հաշվետվությունների ներկայացման պարտավորություններ</w:t>
            </w:r>
            <w:bookmarkEnd w:id="28"/>
          </w:p>
        </w:tc>
        <w:tc>
          <w:tcPr>
            <w:tcW w:w="333" w:type="dxa"/>
            <w:gridSpan w:val="2"/>
            <w:tcBorders>
              <w:top w:val="nil"/>
              <w:left w:val="nil"/>
              <w:bottom w:val="nil"/>
              <w:right w:val="nil"/>
            </w:tcBorders>
          </w:tcPr>
          <w:p w14:paraId="7EEFE066" w14:textId="77777777" w:rsidR="00495ADE" w:rsidRPr="00717728" w:rsidRDefault="00495ADE" w:rsidP="00056A13">
            <w:pPr>
              <w:tabs>
                <w:tab w:val="left" w:pos="6237"/>
              </w:tabs>
              <w:autoSpaceDE w:val="0"/>
              <w:autoSpaceDN w:val="0"/>
              <w:adjustRightInd w:val="0"/>
              <w:spacing w:before="60" w:after="60" w:line="240" w:lineRule="auto"/>
              <w:rPr>
                <w:rFonts w:ascii="Times New Roman" w:hAnsi="Times New Roman" w:cs="Times New Roman"/>
                <w:b/>
              </w:rPr>
            </w:pPr>
          </w:p>
        </w:tc>
        <w:tc>
          <w:tcPr>
            <w:tcW w:w="3895" w:type="dxa"/>
            <w:tcBorders>
              <w:top w:val="nil"/>
              <w:left w:val="nil"/>
              <w:bottom w:val="nil"/>
              <w:right w:val="nil"/>
            </w:tcBorders>
          </w:tcPr>
          <w:p w14:paraId="40FEF49E" w14:textId="583B887C" w:rsidR="00495ADE" w:rsidRPr="00717728" w:rsidRDefault="00495ADE" w:rsidP="00056A13">
            <w:pPr>
              <w:tabs>
                <w:tab w:val="left" w:pos="6237"/>
              </w:tabs>
              <w:autoSpaceDE w:val="0"/>
              <w:autoSpaceDN w:val="0"/>
              <w:adjustRightInd w:val="0"/>
              <w:spacing w:before="60" w:after="60" w:line="240" w:lineRule="auto"/>
              <w:rPr>
                <w:rFonts w:ascii="Times New Roman" w:hAnsi="Times New Roman" w:cs="Times New Roman"/>
                <w:b/>
              </w:rPr>
            </w:pPr>
            <w:bookmarkStart w:id="29" w:name="_Toc67590181"/>
            <w:r w:rsidRPr="00717728">
              <w:rPr>
                <w:rFonts w:ascii="Times New Roman" w:hAnsi="Times New Roman" w:cs="Times New Roman"/>
                <w:b/>
              </w:rPr>
              <w:t xml:space="preserve">ARTICLE 14 </w:t>
            </w:r>
            <w:r w:rsidRPr="00717728">
              <w:rPr>
                <w:rFonts w:ascii="Times New Roman" w:eastAsiaTheme="minorHAnsi" w:hAnsi="Times New Roman" w:cs="Times New Roman"/>
                <w:b/>
              </w:rPr>
              <w:t>– Reporting obligations</w:t>
            </w:r>
            <w:bookmarkEnd w:id="29"/>
          </w:p>
        </w:tc>
      </w:tr>
      <w:tr w:rsidR="00495ADE" w:rsidRPr="00717728" w14:paraId="7A7A08C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F79CE3F" w14:textId="199ED634" w:rsidR="00495ADE" w:rsidRPr="00717728" w:rsidRDefault="00495ADE" w:rsidP="00056A13">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eastAsiaTheme="minorHAnsi" w:hAnsi="Times New Roman" w:cs="Times New Roman"/>
              </w:rPr>
              <w:t xml:space="preserve">14.1 Ենթադրամաշնորհառուն պետք է </w:t>
            </w:r>
            <w:r>
              <w:rPr>
                <w:rFonts w:ascii="Times New Roman" w:eastAsiaTheme="minorHAnsi" w:hAnsi="Times New Roman" w:cs="Times New Roman"/>
              </w:rPr>
              <w:t>Ենթադրամաշնորհատ</w:t>
            </w:r>
            <w:r w:rsidRPr="00717728">
              <w:rPr>
                <w:rFonts w:ascii="Times New Roman" w:eastAsiaTheme="minorHAnsi" w:hAnsi="Times New Roman" w:cs="Times New Roman"/>
              </w:rPr>
              <w:t xml:space="preserve">ուին տրամադրի Գործողության իրականացման մասին ողջ տեղեկատվությունը գրավոր </w:t>
            </w:r>
            <w:r w:rsidRPr="00717728">
              <w:rPr>
                <w:rFonts w:ascii="Times New Roman" w:hAnsi="Times New Roman" w:cs="Times New Roman"/>
              </w:rPr>
              <w:t>հաշվետվությունների</w:t>
            </w:r>
            <w:r w:rsidRPr="00717728">
              <w:rPr>
                <w:rFonts w:ascii="Times New Roman" w:eastAsiaTheme="minorHAnsi" w:hAnsi="Times New Roman" w:cs="Times New Roman"/>
                <w:sz w:val="20"/>
              </w:rPr>
              <w:t xml:space="preserve"> </w:t>
            </w:r>
            <w:r w:rsidRPr="00717728">
              <w:rPr>
                <w:rFonts w:ascii="Times New Roman" w:eastAsiaTheme="minorHAnsi" w:hAnsi="Times New Roman" w:cs="Times New Roman"/>
              </w:rPr>
              <w:t>տեսքով</w:t>
            </w:r>
            <w:r w:rsidRPr="00717728">
              <w:rPr>
                <w:rFonts w:ascii="Times New Roman" w:hAnsi="Times New Roman" w:cs="Times New Roman"/>
              </w:rPr>
              <w:t>:</w:t>
            </w:r>
          </w:p>
        </w:tc>
        <w:tc>
          <w:tcPr>
            <w:tcW w:w="333" w:type="dxa"/>
            <w:gridSpan w:val="2"/>
            <w:tcBorders>
              <w:top w:val="nil"/>
              <w:left w:val="nil"/>
              <w:bottom w:val="nil"/>
              <w:right w:val="nil"/>
            </w:tcBorders>
          </w:tcPr>
          <w:p w14:paraId="0915644C" w14:textId="77777777" w:rsidR="00495ADE" w:rsidRPr="00717728" w:rsidRDefault="00495ADE" w:rsidP="003460EA">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7EEA382D" w14:textId="5380A3B6" w:rsidR="00495ADE" w:rsidRPr="00717728" w:rsidRDefault="00495ADE" w:rsidP="003460EA">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14.1 </w:t>
            </w:r>
            <w:r w:rsidRPr="00717728">
              <w:rPr>
                <w:rFonts w:ascii="Times New Roman" w:hAnsi="Times New Roman" w:cs="Times New Roman"/>
              </w:rPr>
              <w:t xml:space="preserve">The Sub-Grantee shall provide the </w:t>
            </w:r>
            <w:r>
              <w:rPr>
                <w:rFonts w:ascii="Times New Roman" w:hAnsi="Times New Roman" w:cs="Times New Roman"/>
              </w:rPr>
              <w:t>Sub-grantor</w:t>
            </w:r>
            <w:r w:rsidRPr="00717728">
              <w:rPr>
                <w:rFonts w:ascii="Times New Roman" w:hAnsi="Times New Roman" w:cs="Times New Roman"/>
              </w:rPr>
              <w:t xml:space="preserve"> with all required information on the implementation of the Action by means of written reports.</w:t>
            </w:r>
          </w:p>
        </w:tc>
      </w:tr>
      <w:tr w:rsidR="00495ADE" w:rsidRPr="00717728" w14:paraId="3EA0432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03B4069" w14:textId="4F6F47AB" w:rsidR="00495ADE" w:rsidRPr="00717728" w:rsidRDefault="00495ADE" w:rsidP="00056A13">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hAnsi="Times New Roman" w:cs="Times New Roman"/>
              </w:rPr>
              <w:t>14.2 Պետք է ներկայացվեն հետևյալ հաշվետվությունները՝</w:t>
            </w:r>
          </w:p>
          <w:p w14:paraId="6C22DBAD" w14:textId="64E4D539" w:rsidR="00495ADE" w:rsidRPr="00F8756B" w:rsidRDefault="00495ADE" w:rsidP="000941D1">
            <w:pPr>
              <w:pStyle w:val="ListParagraph"/>
              <w:numPr>
                <w:ilvl w:val="0"/>
                <w:numId w:val="7"/>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վերջնական հաշվետվություն ծրագրի իրականացման ողջ ընթացքի համար: Վերջնական </w:t>
            </w:r>
            <w:r>
              <w:rPr>
                <w:rFonts w:ascii="Times New Roman" w:hAnsi="Times New Roman" w:cs="Times New Roman"/>
              </w:rPr>
              <w:t>հաշվետվությունը</w:t>
            </w:r>
            <w:r w:rsidRPr="00717728">
              <w:rPr>
                <w:rFonts w:ascii="Times New Roman" w:hAnsi="Times New Roman" w:cs="Times New Roman"/>
              </w:rPr>
              <w:t xml:space="preserve"> պետք է ներկայացվի </w:t>
            </w:r>
            <w:r>
              <w:rPr>
                <w:rFonts w:ascii="Times New Roman" w:hAnsi="Times New Roman" w:cs="Times New Roman"/>
              </w:rPr>
              <w:t>Ենթադրամաշնորհատ</w:t>
            </w:r>
            <w:r w:rsidRPr="00717728">
              <w:rPr>
                <w:rFonts w:ascii="Times New Roman" w:hAnsi="Times New Roman" w:cs="Times New Roman"/>
              </w:rPr>
              <w:t xml:space="preserve">ուին ոչ ուշ, քան իրականացման ժամկետի ավարտից 10 աշխատանքային օր հետո: Վերջնական հաշվետվությունը պետք է կազմվի Պայմանագրի Հավելվածներ IV-ում և V-ում տրամադրված ձևանմուշների հիման վրա, </w:t>
            </w:r>
          </w:p>
          <w:p w14:paraId="0A357254" w14:textId="7A63FC69" w:rsidR="00495ADE" w:rsidRPr="00717728" w:rsidRDefault="00495ADE" w:rsidP="000941D1">
            <w:pPr>
              <w:pStyle w:val="ListParagraph"/>
              <w:numPr>
                <w:ilvl w:val="0"/>
                <w:numId w:val="7"/>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ցանկացած այլ պարբերական հաշվետվություն, որը պահանջում է </w:t>
            </w:r>
            <w:r>
              <w:rPr>
                <w:rFonts w:ascii="Times New Roman" w:hAnsi="Times New Roman" w:cs="Times New Roman"/>
              </w:rPr>
              <w:t>Ենթադրամաշնորհատ</w:t>
            </w:r>
            <w:r w:rsidRPr="00717728">
              <w:rPr>
                <w:rFonts w:ascii="Times New Roman" w:hAnsi="Times New Roman" w:cs="Times New Roman"/>
              </w:rPr>
              <w:t xml:space="preserve">ուն ՝ կայուն և կանոնավոր մշտադիտարկման նպատակով: Հաշվետվությունների ձևանմուշները տրամադրվելու են </w:t>
            </w:r>
            <w:r>
              <w:rPr>
                <w:rFonts w:ascii="Times New Roman" w:hAnsi="Times New Roman" w:cs="Times New Roman"/>
              </w:rPr>
              <w:t>Ենթադրամաշնորհատ</w:t>
            </w:r>
            <w:r w:rsidRPr="00717728">
              <w:rPr>
                <w:rFonts w:ascii="Times New Roman" w:hAnsi="Times New Roman" w:cs="Times New Roman"/>
              </w:rPr>
              <w:t>ուի կողմից Պայմանագրի ստորագրումից հետո:</w:t>
            </w:r>
          </w:p>
        </w:tc>
        <w:tc>
          <w:tcPr>
            <w:tcW w:w="333" w:type="dxa"/>
            <w:gridSpan w:val="2"/>
            <w:tcBorders>
              <w:top w:val="nil"/>
              <w:left w:val="nil"/>
              <w:bottom w:val="nil"/>
              <w:right w:val="nil"/>
            </w:tcBorders>
          </w:tcPr>
          <w:p w14:paraId="0F8954C7" w14:textId="77777777" w:rsidR="00495ADE" w:rsidRPr="00717728" w:rsidRDefault="00495ADE" w:rsidP="003460EA">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F6FC9DF" w14:textId="14B56FA9" w:rsidR="00495ADE" w:rsidRPr="00717728" w:rsidRDefault="00495ADE" w:rsidP="003460EA">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14.2 The following reports shall be submitted:</w:t>
            </w:r>
          </w:p>
          <w:p w14:paraId="758F19EE" w14:textId="35BCC504" w:rsidR="00495ADE" w:rsidRPr="00717728" w:rsidRDefault="00495ADE" w:rsidP="000941D1">
            <w:pPr>
              <w:pStyle w:val="ListParagraph"/>
              <w:numPr>
                <w:ilvl w:val="0"/>
                <w:numId w:val="7"/>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a Final Report covering the whole project implementation. The Final Report shall be submitted to the </w:t>
            </w:r>
            <w:r>
              <w:rPr>
                <w:rFonts w:ascii="Times New Roman" w:hAnsi="Times New Roman" w:cs="Times New Roman"/>
              </w:rPr>
              <w:t>Sub-grantor</w:t>
            </w:r>
            <w:r w:rsidRPr="00717728">
              <w:rPr>
                <w:rFonts w:ascii="Times New Roman" w:hAnsi="Times New Roman" w:cs="Times New Roman"/>
              </w:rPr>
              <w:t xml:space="preserve"> not later than 10 working days after the end date of the implementation period. The Final Report shall be </w:t>
            </w:r>
            <w:r w:rsidRPr="00717728">
              <w:rPr>
                <w:rFonts w:ascii="Times New Roman" w:eastAsiaTheme="minorHAnsi" w:hAnsi="Times New Roman" w:cs="Times New Roman"/>
              </w:rPr>
              <w:t>prepared</w:t>
            </w:r>
            <w:r w:rsidRPr="00717728">
              <w:rPr>
                <w:rFonts w:ascii="Times New Roman" w:hAnsi="Times New Roman" w:cs="Times New Roman"/>
              </w:rPr>
              <w:t xml:space="preserve"> using the templates provided in Annex IV and V to this Contract.</w:t>
            </w:r>
          </w:p>
          <w:p w14:paraId="3F0679CC" w14:textId="7E8F2C2D" w:rsidR="00495ADE" w:rsidRPr="00717728" w:rsidRDefault="00495ADE" w:rsidP="000941D1">
            <w:pPr>
              <w:pStyle w:val="ListParagraph"/>
              <w:numPr>
                <w:ilvl w:val="0"/>
                <w:numId w:val="7"/>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any other periodic report required by the </w:t>
            </w:r>
            <w:r>
              <w:rPr>
                <w:rFonts w:ascii="Times New Roman" w:hAnsi="Times New Roman" w:cs="Times New Roman"/>
              </w:rPr>
              <w:t>Sub-grantor</w:t>
            </w:r>
            <w:r w:rsidRPr="00717728">
              <w:rPr>
                <w:rFonts w:ascii="Times New Roman" w:hAnsi="Times New Roman" w:cs="Times New Roman"/>
              </w:rPr>
              <w:t xml:space="preserve"> to ensure the sound and regular implementation monitoring. Templates for reporting will be provided by the </w:t>
            </w:r>
            <w:r>
              <w:rPr>
                <w:rFonts w:ascii="Times New Roman" w:hAnsi="Times New Roman" w:cs="Times New Roman"/>
              </w:rPr>
              <w:t>Sub-grantor</w:t>
            </w:r>
            <w:r w:rsidRPr="00717728">
              <w:rPr>
                <w:rFonts w:ascii="Times New Roman" w:hAnsi="Times New Roman" w:cs="Times New Roman"/>
              </w:rPr>
              <w:t xml:space="preserve"> after contract signature.</w:t>
            </w:r>
          </w:p>
        </w:tc>
      </w:tr>
      <w:tr w:rsidR="00495ADE" w:rsidRPr="00717728" w14:paraId="10AFBDD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26D6422" w14:textId="050B9C29" w:rsidR="00495ADE" w:rsidRPr="00717728" w:rsidRDefault="00495ADE" w:rsidP="00056A13">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14.3 Եթե Ենթադրամաշնորհառուն մինչև սահմանված վերջնաժամկետը </w:t>
            </w:r>
            <w:r>
              <w:rPr>
                <w:rFonts w:ascii="Times New Roman" w:hAnsi="Times New Roman" w:cs="Times New Roman"/>
              </w:rPr>
              <w:t>Ենթադրամաշնորհատ</w:t>
            </w:r>
            <w:r w:rsidRPr="00717728">
              <w:rPr>
                <w:rFonts w:ascii="Times New Roman" w:hAnsi="Times New Roman" w:cs="Times New Roman"/>
              </w:rPr>
              <w:t xml:space="preserve">ուին չի ներկայացնում պահանջվող հաշվետվություններն առանց հիմնավոր և գրավոր պատճառաբանման, ապա </w:t>
            </w:r>
            <w:r>
              <w:rPr>
                <w:rFonts w:ascii="Times New Roman" w:hAnsi="Times New Roman" w:cs="Times New Roman"/>
              </w:rPr>
              <w:t>Ենթադրամաշնորհատ</w:t>
            </w:r>
            <w:r w:rsidRPr="00717728">
              <w:rPr>
                <w:rFonts w:ascii="Times New Roman" w:hAnsi="Times New Roman" w:cs="Times New Roman"/>
              </w:rPr>
              <w:t>ուն կարող է լուծել Պայմանագիրը՝ համաձայն 20.2-րդ հոդվածի (b) և (c) կետերի:</w:t>
            </w:r>
          </w:p>
        </w:tc>
        <w:tc>
          <w:tcPr>
            <w:tcW w:w="333" w:type="dxa"/>
            <w:gridSpan w:val="2"/>
            <w:tcBorders>
              <w:top w:val="nil"/>
              <w:left w:val="nil"/>
              <w:bottom w:val="nil"/>
              <w:right w:val="nil"/>
            </w:tcBorders>
          </w:tcPr>
          <w:p w14:paraId="0DB29F67" w14:textId="77777777" w:rsidR="00495ADE" w:rsidRPr="00717728" w:rsidRDefault="00495ADE" w:rsidP="003460EA">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9A74285" w14:textId="22861A7B" w:rsidR="00495ADE" w:rsidRPr="00717728" w:rsidRDefault="00495ADE" w:rsidP="003460EA">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 xml:space="preserve">14.3 If the Sub-Grantee fails to report to the </w:t>
            </w:r>
            <w:r>
              <w:rPr>
                <w:rFonts w:ascii="Times New Roman" w:hAnsi="Times New Roman" w:cs="Times New Roman"/>
              </w:rPr>
              <w:t>Sub-grantor</w:t>
            </w:r>
            <w:r w:rsidRPr="00717728">
              <w:rPr>
                <w:rFonts w:ascii="Times New Roman" w:hAnsi="Times New Roman" w:cs="Times New Roman"/>
              </w:rPr>
              <w:t xml:space="preserve"> within the set deadline without an acceptable and written explanation of the reasons, the </w:t>
            </w:r>
            <w:r>
              <w:rPr>
                <w:rFonts w:ascii="Times New Roman" w:hAnsi="Times New Roman" w:cs="Times New Roman"/>
              </w:rPr>
              <w:t>Sub-grantor</w:t>
            </w:r>
            <w:r w:rsidRPr="00717728">
              <w:rPr>
                <w:rFonts w:ascii="Times New Roman" w:hAnsi="Times New Roman" w:cs="Times New Roman"/>
              </w:rPr>
              <w:t xml:space="preserve"> may terminate this contract according to Article 20.2 (b) and (c).</w:t>
            </w:r>
          </w:p>
        </w:tc>
      </w:tr>
      <w:tr w:rsidR="00495ADE" w:rsidRPr="00717728" w14:paraId="6FB8452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AACEB77" w14:textId="316B8EDD" w:rsidR="00495ADE" w:rsidRPr="00717728" w:rsidRDefault="00495ADE" w:rsidP="00056A13">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14.4 </w:t>
            </w:r>
            <w:r>
              <w:rPr>
                <w:rFonts w:ascii="Times New Roman" w:hAnsi="Times New Roman" w:cs="Times New Roman"/>
              </w:rPr>
              <w:t>Ենթադրամաշնորհատ</w:t>
            </w:r>
            <w:r w:rsidRPr="00717728">
              <w:rPr>
                <w:rFonts w:ascii="Times New Roman" w:hAnsi="Times New Roman" w:cs="Times New Roman"/>
              </w:rPr>
              <w:t xml:space="preserve">ուն կարող է ցանկացած ժամանակ պահանջել լրացուցիչ տեղեկատվություն: Ենթադրամաշնորհառուն պետք է տրամադրի այդ </w:t>
            </w:r>
            <w:r w:rsidRPr="00717728">
              <w:rPr>
                <w:rFonts w:ascii="Times New Roman" w:hAnsi="Times New Roman" w:cs="Times New Roman"/>
              </w:rPr>
              <w:lastRenderedPageBreak/>
              <w:t>տեղեկատվությունը 5 աշխատանքային օրվա ընթացքում հաշվետվության համար պահանջվող լեզվով:</w:t>
            </w:r>
          </w:p>
        </w:tc>
        <w:tc>
          <w:tcPr>
            <w:tcW w:w="333" w:type="dxa"/>
            <w:gridSpan w:val="2"/>
            <w:tcBorders>
              <w:top w:val="nil"/>
              <w:left w:val="nil"/>
              <w:bottom w:val="nil"/>
              <w:right w:val="nil"/>
            </w:tcBorders>
          </w:tcPr>
          <w:p w14:paraId="634631AA" w14:textId="77777777" w:rsidR="00495ADE" w:rsidRPr="00717728" w:rsidRDefault="00495ADE" w:rsidP="003460EA">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6D1F531" w14:textId="1899E72C" w:rsidR="00495ADE" w:rsidRPr="00717728" w:rsidRDefault="00495ADE" w:rsidP="003460EA">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14.4 The </w:t>
            </w:r>
            <w:r>
              <w:rPr>
                <w:rFonts w:ascii="Times New Roman" w:hAnsi="Times New Roman" w:cs="Times New Roman"/>
              </w:rPr>
              <w:t>Sub-grantor</w:t>
            </w:r>
            <w:r w:rsidRPr="00717728">
              <w:rPr>
                <w:rFonts w:ascii="Times New Roman" w:hAnsi="Times New Roman" w:cs="Times New Roman"/>
              </w:rPr>
              <w:t xml:space="preserve"> may request additional information at any time. The Sub-Grantee shall provide this </w:t>
            </w:r>
            <w:r w:rsidRPr="00717728">
              <w:rPr>
                <w:rFonts w:ascii="Times New Roman" w:hAnsi="Times New Roman" w:cs="Times New Roman"/>
              </w:rPr>
              <w:lastRenderedPageBreak/>
              <w:t>information within 5 working days of the request, in the language of the report.</w:t>
            </w:r>
          </w:p>
        </w:tc>
      </w:tr>
      <w:tr w:rsidR="00495ADE" w:rsidRPr="00717728" w14:paraId="26330BD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D8224EC" w14:textId="4ECA4D6A" w:rsidR="00495ADE" w:rsidRPr="00717728" w:rsidRDefault="00495ADE" w:rsidP="00056A13">
            <w:pPr>
              <w:autoSpaceDE w:val="0"/>
              <w:autoSpaceDN w:val="0"/>
              <w:adjustRightInd w:val="0"/>
              <w:spacing w:after="120" w:line="259" w:lineRule="auto"/>
              <w:jc w:val="both"/>
              <w:rPr>
                <w:rFonts w:ascii="Times New Roman" w:hAnsi="Times New Roman" w:cs="Times New Roman"/>
                <w:b/>
              </w:rPr>
            </w:pPr>
            <w:bookmarkStart w:id="30" w:name="_Toc70236982"/>
            <w:r w:rsidRPr="00717728">
              <w:rPr>
                <w:rFonts w:ascii="Times New Roman" w:hAnsi="Times New Roman" w:cs="Times New Roman"/>
                <w:b/>
              </w:rPr>
              <w:lastRenderedPageBreak/>
              <w:t>ՀՈԴՎԱԾ 15 — Վճարման և հաշվետվությունների ներկայացման պայմանները</w:t>
            </w:r>
            <w:bookmarkEnd w:id="30"/>
          </w:p>
        </w:tc>
        <w:tc>
          <w:tcPr>
            <w:tcW w:w="333" w:type="dxa"/>
            <w:gridSpan w:val="2"/>
            <w:tcBorders>
              <w:top w:val="nil"/>
              <w:left w:val="nil"/>
              <w:bottom w:val="nil"/>
              <w:right w:val="nil"/>
            </w:tcBorders>
          </w:tcPr>
          <w:p w14:paraId="7C99F484" w14:textId="77777777" w:rsidR="00495ADE" w:rsidRPr="00717728" w:rsidRDefault="00495ADE" w:rsidP="006A4A35">
            <w:pPr>
              <w:tabs>
                <w:tab w:val="left" w:pos="6237"/>
              </w:tabs>
              <w:spacing w:before="60" w:after="60" w:line="240" w:lineRule="auto"/>
              <w:rPr>
                <w:rFonts w:ascii="Times New Roman" w:hAnsi="Times New Roman" w:cs="Times New Roman"/>
                <w:b/>
              </w:rPr>
            </w:pPr>
          </w:p>
        </w:tc>
        <w:tc>
          <w:tcPr>
            <w:tcW w:w="3895" w:type="dxa"/>
            <w:tcBorders>
              <w:top w:val="nil"/>
              <w:left w:val="nil"/>
              <w:bottom w:val="nil"/>
              <w:right w:val="nil"/>
            </w:tcBorders>
          </w:tcPr>
          <w:p w14:paraId="04CF77C9" w14:textId="16EC26D2" w:rsidR="00495ADE" w:rsidRPr="00717728" w:rsidRDefault="00495ADE" w:rsidP="006A4A35">
            <w:pPr>
              <w:tabs>
                <w:tab w:val="left" w:pos="6237"/>
              </w:tabs>
              <w:spacing w:before="60" w:after="60" w:line="240" w:lineRule="auto"/>
              <w:rPr>
                <w:rFonts w:ascii="Times New Roman" w:hAnsi="Times New Roman" w:cs="Times New Roman"/>
                <w:b/>
              </w:rPr>
            </w:pPr>
            <w:bookmarkStart w:id="31" w:name="_Toc67590182"/>
            <w:r w:rsidRPr="00717728">
              <w:rPr>
                <w:rFonts w:ascii="Times New Roman" w:hAnsi="Times New Roman" w:cs="Times New Roman"/>
                <w:b/>
              </w:rPr>
              <w:t>ARTICLE 15 — Payment and reporting arrangements</w:t>
            </w:r>
            <w:bookmarkEnd w:id="31"/>
          </w:p>
        </w:tc>
      </w:tr>
      <w:tr w:rsidR="00495ADE" w:rsidRPr="00717728" w14:paraId="01B7899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6FAD09C" w14:textId="5588757A" w:rsidR="00495ADE" w:rsidRPr="00717728" w:rsidRDefault="00495ADE" w:rsidP="000941D1">
            <w:pPr>
              <w:spacing w:after="120" w:line="259" w:lineRule="auto"/>
              <w:contextualSpacing/>
              <w:jc w:val="both"/>
              <w:rPr>
                <w:rFonts w:ascii="Times New Roman" w:eastAsia="Times New Roman" w:hAnsi="Times New Roman" w:cs="Times New Roman"/>
                <w:lang w:val="en-GB"/>
              </w:rPr>
            </w:pPr>
            <w:r w:rsidRPr="00717728">
              <w:rPr>
                <w:rFonts w:ascii="Times New Roman" w:eastAsia="Times New Roman" w:hAnsi="Times New Roman" w:cs="Times New Roman"/>
                <w:lang w:val="en-GB"/>
              </w:rPr>
              <w:t xml:space="preserve">15.1 </w:t>
            </w:r>
            <w:r>
              <w:rPr>
                <w:rFonts w:ascii="Times New Roman" w:eastAsia="Times New Roman" w:hAnsi="Times New Roman" w:cs="Times New Roman"/>
                <w:lang w:val="en-GB"/>
              </w:rPr>
              <w:t>Ենթադրամաշնորհատ</w:t>
            </w:r>
            <w:r w:rsidRPr="00717728">
              <w:rPr>
                <w:rFonts w:ascii="Times New Roman" w:eastAsia="Times New Roman" w:hAnsi="Times New Roman" w:cs="Times New Roman"/>
                <w:lang w:val="en-GB"/>
              </w:rPr>
              <w:t>ուն պարտավոր է վճարել Ենթադրամաշնորհառուին ստորև նկարագրված կերպով.</w:t>
            </w:r>
          </w:p>
          <w:p w14:paraId="04F90641" w14:textId="717E7F5B" w:rsidR="00495ADE" w:rsidRPr="00717728" w:rsidDel="00251421" w:rsidRDefault="00495ADE" w:rsidP="000A26A8">
            <w:pPr>
              <w:pStyle w:val="ListParagraph"/>
              <w:numPr>
                <w:ilvl w:val="0"/>
                <w:numId w:val="17"/>
              </w:numPr>
              <w:tabs>
                <w:tab w:val="left" w:pos="4536"/>
              </w:tabs>
              <w:spacing w:after="120" w:line="259" w:lineRule="auto"/>
              <w:jc w:val="both"/>
              <w:rPr>
                <w:rFonts w:ascii="Times New Roman" w:eastAsia="Times New Roman" w:hAnsi="Times New Roman" w:cs="Times New Roman"/>
                <w:szCs w:val="20"/>
                <w:lang w:val="en-GB"/>
              </w:rPr>
            </w:pPr>
            <w:r>
              <w:rPr>
                <w:rFonts w:ascii="Times New Roman" w:eastAsia="Times New Roman" w:hAnsi="Times New Roman" w:cs="Times New Roman"/>
                <w:b/>
                <w:szCs w:val="20"/>
                <w:lang w:val="en-GB"/>
              </w:rPr>
              <w:t>սկզբնական նախաֆինանսավորման վճարը</w:t>
            </w:r>
            <w:r w:rsidRPr="00717728">
              <w:rPr>
                <w:rFonts w:ascii="Times New Roman" w:eastAsia="Times New Roman" w:hAnsi="Times New Roman" w:cs="Times New Roman"/>
                <w:szCs w:val="20"/>
                <w:lang w:val="en-GB"/>
              </w:rPr>
              <w:t>, որը հավասար է 3.2-րդ հոդվածով սահմանված ենթադրամաշնորհի առավելագույն գումարի 100% -ին:</w:t>
            </w:r>
          </w:p>
        </w:tc>
        <w:tc>
          <w:tcPr>
            <w:tcW w:w="333" w:type="dxa"/>
            <w:gridSpan w:val="2"/>
            <w:tcBorders>
              <w:top w:val="nil"/>
              <w:left w:val="nil"/>
              <w:bottom w:val="nil"/>
              <w:right w:val="nil"/>
            </w:tcBorders>
          </w:tcPr>
          <w:p w14:paraId="5E1A676B" w14:textId="77777777" w:rsidR="00495ADE" w:rsidRPr="00717728" w:rsidRDefault="00495ADE" w:rsidP="006A4A35">
            <w:pPr>
              <w:spacing w:after="120" w:line="259" w:lineRule="auto"/>
              <w:contextualSpacing/>
              <w:rPr>
                <w:rFonts w:ascii="Times New Roman" w:hAnsi="Times New Roman" w:cs="Times New Roman"/>
              </w:rPr>
            </w:pPr>
          </w:p>
        </w:tc>
        <w:tc>
          <w:tcPr>
            <w:tcW w:w="3895" w:type="dxa"/>
            <w:tcBorders>
              <w:top w:val="nil"/>
              <w:left w:val="nil"/>
              <w:bottom w:val="nil"/>
              <w:right w:val="nil"/>
            </w:tcBorders>
          </w:tcPr>
          <w:p w14:paraId="6DC18421" w14:textId="39466EEE" w:rsidR="00495ADE" w:rsidRPr="00717728" w:rsidRDefault="00495ADE" w:rsidP="006A4A35">
            <w:pPr>
              <w:spacing w:after="120" w:line="259" w:lineRule="auto"/>
              <w:contextualSpacing/>
              <w:rPr>
                <w:rFonts w:ascii="Times New Roman" w:hAnsi="Times New Roman" w:cs="Times New Roman"/>
              </w:rPr>
            </w:pPr>
            <w:r w:rsidRPr="00717728">
              <w:rPr>
                <w:rFonts w:ascii="Times New Roman" w:hAnsi="Times New Roman" w:cs="Times New Roman"/>
              </w:rPr>
              <w:t xml:space="preserve">15.1 The </w:t>
            </w:r>
            <w:r>
              <w:rPr>
                <w:rFonts w:ascii="Times New Roman" w:hAnsi="Times New Roman" w:cs="Times New Roman"/>
              </w:rPr>
              <w:t>Sub-grantor</w:t>
            </w:r>
            <w:r w:rsidRPr="00717728">
              <w:rPr>
                <w:rFonts w:ascii="Times New Roman" w:hAnsi="Times New Roman" w:cs="Times New Roman"/>
              </w:rPr>
              <w:t xml:space="preserve"> must pay the Sub-Grantee as described below:</w:t>
            </w:r>
          </w:p>
          <w:p w14:paraId="60719D97" w14:textId="33F6E5D1" w:rsidR="00495ADE" w:rsidRPr="00717728" w:rsidRDefault="00495ADE" w:rsidP="000A26A8">
            <w:pPr>
              <w:pStyle w:val="Text1"/>
              <w:numPr>
                <w:ilvl w:val="0"/>
                <w:numId w:val="16"/>
              </w:numPr>
              <w:tabs>
                <w:tab w:val="left" w:pos="4536"/>
              </w:tabs>
              <w:spacing w:after="120" w:line="259" w:lineRule="auto"/>
              <w:contextualSpacing/>
              <w:jc w:val="both"/>
              <w:rPr>
                <w:b/>
                <w:bCs/>
              </w:rPr>
            </w:pPr>
            <w:r w:rsidRPr="00717728">
              <w:rPr>
                <w:sz w:val="22"/>
              </w:rPr>
              <w:t xml:space="preserve">An </w:t>
            </w:r>
            <w:r w:rsidRPr="00717728">
              <w:rPr>
                <w:b/>
                <w:bCs/>
                <w:sz w:val="22"/>
              </w:rPr>
              <w:t>Initial pre-financing payment</w:t>
            </w:r>
            <w:r w:rsidRPr="00717728">
              <w:rPr>
                <w:sz w:val="22"/>
              </w:rPr>
              <w:t xml:space="preserve"> equal to 100% of the maximum Sub-Grant amount set in Article 3.2.</w:t>
            </w:r>
          </w:p>
        </w:tc>
      </w:tr>
      <w:tr w:rsidR="00495ADE" w:rsidRPr="00717728" w14:paraId="1406050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5AFB0D2" w14:textId="4D569C4F" w:rsidR="00495ADE" w:rsidRPr="00717728" w:rsidRDefault="00495ADE" w:rsidP="005139A2">
            <w:pPr>
              <w:autoSpaceDE w:val="0"/>
              <w:autoSpaceDN w:val="0"/>
              <w:adjustRightInd w:val="0"/>
              <w:spacing w:after="120" w:line="259" w:lineRule="auto"/>
              <w:jc w:val="both"/>
              <w:rPr>
                <w:rFonts w:ascii="Times New Roman" w:hAnsi="Times New Roman" w:cs="Times New Roman"/>
              </w:rPr>
            </w:pPr>
            <w:r w:rsidRPr="00717728">
              <w:rPr>
                <w:rFonts w:ascii="Times New Roman" w:eastAsia="Times New Roman" w:hAnsi="Times New Roman" w:cs="Times New Roman"/>
                <w:szCs w:val="20"/>
                <w:lang w:val="en-GB"/>
              </w:rPr>
              <w:t xml:space="preserve">15.2 </w:t>
            </w:r>
            <w:r>
              <w:rPr>
                <w:rFonts w:ascii="Times New Roman" w:eastAsia="Times New Roman" w:hAnsi="Times New Roman" w:cs="Times New Roman"/>
                <w:b/>
                <w:szCs w:val="20"/>
                <w:lang w:val="en-GB"/>
              </w:rPr>
              <w:t>Սկզբնական նախաֆինանսավորման վճարը</w:t>
            </w:r>
            <w:r w:rsidRPr="00717728">
              <w:rPr>
                <w:rFonts w:ascii="Times New Roman" w:eastAsia="Times New Roman" w:hAnsi="Times New Roman" w:cs="Times New Roman"/>
                <w:b/>
                <w:szCs w:val="20"/>
                <w:lang w:val="en-GB"/>
              </w:rPr>
              <w:t xml:space="preserve"> </w:t>
            </w:r>
            <w:r w:rsidRPr="00717728">
              <w:rPr>
                <w:rFonts w:ascii="Times New Roman" w:eastAsia="Times New Roman" w:hAnsi="Times New Roman" w:cs="Times New Roman"/>
                <w:szCs w:val="20"/>
                <w:lang w:val="en-GB"/>
              </w:rPr>
              <w:t>կատարվում է Պայմանագրի ստորագրումից ոչ ուշ, քան 15 օրացուցային օր հետո:</w:t>
            </w:r>
            <w:r w:rsidR="000A26A8">
              <w:rPr>
                <w:rFonts w:ascii="Times New Roman" w:eastAsia="Times New Roman" w:hAnsi="Times New Roman" w:cs="Times New Roman"/>
                <w:szCs w:val="20"/>
                <w:lang w:val="en-GB"/>
              </w:rPr>
              <w:t xml:space="preserve"> </w:t>
            </w:r>
            <w:r w:rsidR="000A26A8" w:rsidRPr="00C514F5">
              <w:rPr>
                <w:rFonts w:ascii="Times New Roman" w:eastAsia="Times New Roman" w:hAnsi="Times New Roman" w:cs="Times New Roman"/>
                <w:szCs w:val="20"/>
                <w:lang w:val="en-GB"/>
              </w:rPr>
              <w:t>Ենթադրամաշնորհատուի՝ վճարելու պարտավորությունը կախված է միջոցների հասանելիությունից, որոնցից Պայամանգրի նպատակով վճարումները կարող են կատարվել: Միջոցների ժամանակավոր անհասանելիության դեպքում Ենթադրամաշնորհատուի նկատմամբ իրավական պատասխանատվություն չի առաջանում, և վճարման պարտավորությունը մնում է կասեցված այնքան ժամանակ, մինչև միջոցները կրկին հասանելի կլինեն:</w:t>
            </w:r>
          </w:p>
        </w:tc>
        <w:tc>
          <w:tcPr>
            <w:tcW w:w="333" w:type="dxa"/>
            <w:gridSpan w:val="2"/>
            <w:tcBorders>
              <w:top w:val="nil"/>
              <w:left w:val="nil"/>
              <w:bottom w:val="nil"/>
              <w:right w:val="nil"/>
            </w:tcBorders>
          </w:tcPr>
          <w:p w14:paraId="780C2FE1" w14:textId="77777777" w:rsidR="00495ADE" w:rsidRPr="00717728" w:rsidRDefault="00495ADE" w:rsidP="0029313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01F18C5" w14:textId="3F4665CE" w:rsidR="00495ADE" w:rsidRPr="00717728" w:rsidRDefault="00495ADE" w:rsidP="0029313B">
            <w:pPr>
              <w:tabs>
                <w:tab w:val="left" w:pos="6237"/>
              </w:tabs>
              <w:spacing w:before="60" w:after="60" w:line="240" w:lineRule="auto"/>
              <w:jc w:val="both"/>
              <w:rPr>
                <w:rFonts w:ascii="Times New Roman" w:hAnsi="Times New Roman" w:cs="Times New Roman"/>
                <w:spacing w:val="-2"/>
              </w:rPr>
            </w:pPr>
            <w:r w:rsidRPr="00717728">
              <w:rPr>
                <w:rFonts w:ascii="Times New Roman" w:hAnsi="Times New Roman" w:cs="Times New Roman"/>
              </w:rPr>
              <w:t xml:space="preserve">15.2 The </w:t>
            </w:r>
            <w:r w:rsidRPr="00717728">
              <w:rPr>
                <w:rFonts w:ascii="Times New Roman" w:hAnsi="Times New Roman" w:cs="Times New Roman"/>
                <w:b/>
                <w:bCs/>
              </w:rPr>
              <w:t>Initial prefinancing payment</w:t>
            </w:r>
            <w:r w:rsidRPr="00717728">
              <w:rPr>
                <w:rFonts w:ascii="Times New Roman" w:hAnsi="Times New Roman" w:cs="Times New Roman"/>
              </w:rPr>
              <w:t xml:space="preserve"> is made not later than 15 calendar days after the Contract signature.</w:t>
            </w:r>
            <w:r w:rsidR="000A26A8" w:rsidRPr="00C514F5">
              <w:rPr>
                <w:rFonts w:ascii="Times New Roman" w:hAnsi="Times New Roman" w:cs="Times New Roman"/>
              </w:rPr>
              <w:t xml:space="preserve"> The Sub-Grantor’s payment obligation is contingent upon the availability of funds from which the payment for contract purposes can be made. In case of temporary fund unavailability, no legal liability arises on the Sub-Grantor and the payment obligation remains suspended until when the funds are again made available.</w:t>
            </w:r>
          </w:p>
        </w:tc>
      </w:tr>
      <w:tr w:rsidR="00495ADE" w:rsidRPr="00717728" w14:paraId="737CD54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00796ED" w14:textId="1BC925CC" w:rsidR="00495ADE" w:rsidRPr="000941D1" w:rsidRDefault="00495ADE" w:rsidP="000A26A8">
            <w:pPr>
              <w:tabs>
                <w:tab w:val="left" w:pos="6237"/>
              </w:tabs>
              <w:spacing w:before="60" w:after="60" w:line="240" w:lineRule="auto"/>
              <w:jc w:val="both"/>
              <w:rPr>
                <w:rFonts w:ascii="Times New Roman" w:hAnsi="Times New Roman" w:cs="Times New Roman"/>
                <w:b/>
                <w:bCs/>
                <w:lang w:val="hy-AM"/>
              </w:rPr>
            </w:pPr>
            <w:r w:rsidRPr="00AA07B7">
              <w:rPr>
                <w:rFonts w:ascii="Times New Roman" w:hAnsi="Times New Roman" w:cs="Times New Roman"/>
              </w:rPr>
              <w:t>15.3 Եթե</w:t>
            </w:r>
            <w:r w:rsidRPr="00AA07B7">
              <w:rPr>
                <w:rFonts w:ascii="Times New Roman" w:hAnsi="Times New Roman" w:cs="Times New Roman"/>
                <w:snapToGrid w:val="0"/>
              </w:rPr>
              <w:t xml:space="preserve"> </w:t>
            </w:r>
            <w:r w:rsidRPr="000941D1">
              <w:rPr>
                <w:rFonts w:ascii="Times New Roman" w:hAnsi="Times New Roman" w:cs="Times New Roman"/>
                <w:bCs/>
              </w:rPr>
              <w:t>Ենթադրամաշնորհառուն</w:t>
            </w:r>
            <w:r w:rsidR="003A3A12" w:rsidRPr="000941D1">
              <w:rPr>
                <w:rFonts w:ascii="Times New Roman" w:hAnsi="Times New Roman" w:cs="Times New Roman"/>
                <w:bCs/>
              </w:rPr>
              <w:t xml:space="preserve"> </w:t>
            </w:r>
            <w:r w:rsidRPr="00AA07B7">
              <w:rPr>
                <w:rFonts w:ascii="Times New Roman" w:hAnsi="Times New Roman" w:cs="Times New Roman"/>
                <w:snapToGrid w:val="0"/>
              </w:rPr>
              <w:t xml:space="preserve">Ենթադրամաշնորհատուին տրամադրում են սխալ կամ թերի ֆինանսական տեղեկություն կամ ժամանակին չեն տեղեկացնում Ենթադրամաշնորհատուին արդեն տրամադրված ֆինանսական տեղեկության փոփոխությունների մասին, ապա սխալ բանկային փոխանցուման և գումարի վերադարձի  ծախսերը կրում են </w:t>
            </w:r>
            <w:r w:rsidRPr="000941D1">
              <w:rPr>
                <w:rFonts w:ascii="Times New Roman" w:hAnsi="Times New Roman" w:cs="Times New Roman"/>
                <w:bCs/>
              </w:rPr>
              <w:t>Ենթադրամաշնորհ</w:t>
            </w:r>
            <w:r w:rsidR="00710BA4" w:rsidRPr="000941D1">
              <w:rPr>
                <w:rFonts w:ascii="Times New Roman" w:hAnsi="Times New Roman" w:cs="Times New Roman"/>
                <w:bCs/>
                <w:lang w:val="hy-AM"/>
              </w:rPr>
              <w:t>առուն</w:t>
            </w:r>
          </w:p>
        </w:tc>
        <w:tc>
          <w:tcPr>
            <w:tcW w:w="333" w:type="dxa"/>
            <w:gridSpan w:val="2"/>
            <w:tcBorders>
              <w:top w:val="nil"/>
              <w:left w:val="nil"/>
              <w:bottom w:val="nil"/>
              <w:right w:val="nil"/>
            </w:tcBorders>
          </w:tcPr>
          <w:p w14:paraId="3CF32193" w14:textId="77777777" w:rsidR="00495ADE" w:rsidRPr="00AA07B7" w:rsidRDefault="00495ADE" w:rsidP="000A26A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E35DD6F" w14:textId="03D9DEA7" w:rsidR="00495ADE" w:rsidRPr="00AA07B7" w:rsidRDefault="00495ADE" w:rsidP="000A26A8">
            <w:pPr>
              <w:tabs>
                <w:tab w:val="left" w:pos="6237"/>
              </w:tabs>
              <w:spacing w:before="60" w:after="60" w:line="240" w:lineRule="auto"/>
              <w:jc w:val="both"/>
              <w:rPr>
                <w:rFonts w:ascii="Times New Roman" w:hAnsi="Times New Roman" w:cs="Times New Roman"/>
                <w:b/>
              </w:rPr>
            </w:pPr>
            <w:r w:rsidRPr="00AA07B7">
              <w:rPr>
                <w:rFonts w:ascii="Times New Roman" w:hAnsi="Times New Roman" w:cs="Times New Roman"/>
              </w:rPr>
              <w:t xml:space="preserve">15.3 </w:t>
            </w:r>
            <w:r w:rsidRPr="00AA07B7">
              <w:rPr>
                <w:rFonts w:ascii="Times New Roman" w:hAnsi="Times New Roman" w:cs="Times New Roman"/>
                <w:snapToGrid w:val="0"/>
              </w:rPr>
              <w:t xml:space="preserve">If the </w:t>
            </w:r>
            <w:r w:rsidRPr="000941D1">
              <w:rPr>
                <w:rFonts w:ascii="Times New Roman" w:hAnsi="Times New Roman" w:cs="Times New Roman"/>
                <w:bCs/>
              </w:rPr>
              <w:t xml:space="preserve">Sub-Grantee provides </w:t>
            </w:r>
            <w:r w:rsidRPr="00AA07B7">
              <w:rPr>
                <w:rFonts w:ascii="Times New Roman" w:hAnsi="Times New Roman" w:cs="Times New Roman"/>
                <w:snapToGrid w:val="0"/>
              </w:rPr>
              <w:t xml:space="preserve">the Sub-grantor with incorrect or incomplete financial information or omits to timely inform the Sub-grantor about any changes to financial information that has been already provided, any costs incurred by the Sub-grantor for incorrect bank transfer and payment recovery shall be borne by the </w:t>
            </w:r>
            <w:r w:rsidRPr="000941D1">
              <w:rPr>
                <w:rFonts w:ascii="Times New Roman" w:hAnsi="Times New Roman" w:cs="Times New Roman"/>
                <w:bCs/>
              </w:rPr>
              <w:t>Sub-Grant</w:t>
            </w:r>
            <w:r w:rsidR="000A26A8" w:rsidRPr="000941D1">
              <w:rPr>
                <w:rFonts w:ascii="Times New Roman" w:hAnsi="Times New Roman" w:cs="Times New Roman"/>
                <w:bCs/>
              </w:rPr>
              <w:t>ee</w:t>
            </w:r>
            <w:r w:rsidRPr="00AA07B7">
              <w:rPr>
                <w:rFonts w:ascii="Times New Roman" w:hAnsi="Times New Roman" w:cs="Times New Roman"/>
                <w:snapToGrid w:val="0"/>
              </w:rPr>
              <w:t>.</w:t>
            </w:r>
          </w:p>
        </w:tc>
      </w:tr>
      <w:tr w:rsidR="00495ADE" w:rsidRPr="00717728" w14:paraId="505E20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70EB221" w14:textId="77777777" w:rsidR="00495ADE" w:rsidRPr="00717728" w:rsidRDefault="00495ADE" w:rsidP="00FF2419">
            <w:pPr>
              <w:tabs>
                <w:tab w:val="left" w:pos="6237"/>
              </w:tabs>
              <w:spacing w:before="60" w:after="60" w:line="240" w:lineRule="auto"/>
              <w:rPr>
                <w:rFonts w:ascii="Times New Roman" w:hAnsi="Times New Roman" w:cs="Times New Roman"/>
                <w:b/>
                <w:bCs/>
              </w:rPr>
            </w:pPr>
          </w:p>
        </w:tc>
        <w:tc>
          <w:tcPr>
            <w:tcW w:w="333" w:type="dxa"/>
            <w:gridSpan w:val="2"/>
            <w:tcBorders>
              <w:top w:val="nil"/>
              <w:left w:val="nil"/>
              <w:bottom w:val="nil"/>
              <w:right w:val="nil"/>
            </w:tcBorders>
          </w:tcPr>
          <w:p w14:paraId="1D5B62D8" w14:textId="77777777"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bCs/>
              </w:rPr>
            </w:pPr>
          </w:p>
        </w:tc>
        <w:tc>
          <w:tcPr>
            <w:tcW w:w="3895" w:type="dxa"/>
            <w:tcBorders>
              <w:top w:val="nil"/>
              <w:left w:val="nil"/>
              <w:bottom w:val="nil"/>
              <w:right w:val="nil"/>
            </w:tcBorders>
          </w:tcPr>
          <w:p w14:paraId="29D44B6B" w14:textId="565BDDDE"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rPr>
            </w:pPr>
            <w:r w:rsidRPr="00717728">
              <w:rPr>
                <w:rFonts w:ascii="Times New Roman" w:hAnsi="Times New Roman" w:cs="Times New Roman"/>
                <w:b/>
                <w:bCs/>
              </w:rPr>
              <w:t xml:space="preserve"> </w:t>
            </w:r>
          </w:p>
        </w:tc>
      </w:tr>
      <w:tr w:rsidR="00495ADE" w:rsidRPr="00717728" w14:paraId="7594CD3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DFE2374" w14:textId="2027AE0B" w:rsidR="00495ADE" w:rsidRPr="00717728" w:rsidRDefault="00495ADE" w:rsidP="003622B0">
            <w:pPr>
              <w:autoSpaceDE w:val="0"/>
              <w:autoSpaceDN w:val="0"/>
              <w:adjustRightInd w:val="0"/>
              <w:spacing w:after="120" w:line="259" w:lineRule="auto"/>
              <w:jc w:val="both"/>
              <w:rPr>
                <w:rFonts w:ascii="Times New Roman" w:hAnsi="Times New Roman" w:cs="Times New Roman"/>
                <w:b/>
              </w:rPr>
            </w:pPr>
            <w:bookmarkStart w:id="32" w:name="_Toc70236983"/>
            <w:r w:rsidRPr="00717728">
              <w:rPr>
                <w:rFonts w:ascii="Times New Roman" w:hAnsi="Times New Roman" w:cs="Times New Roman"/>
                <w:b/>
              </w:rPr>
              <w:t>ՀՈԴՎԱԾ 16 – Հաշվապահական հաշվառում և բանկային հարցերի կառավարում</w:t>
            </w:r>
            <w:bookmarkEnd w:id="32"/>
          </w:p>
          <w:p w14:paraId="6663D5F9" w14:textId="77777777" w:rsidR="00495ADE" w:rsidRPr="00717728" w:rsidRDefault="00495ADE" w:rsidP="003622B0">
            <w:pPr>
              <w:autoSpaceDE w:val="0"/>
              <w:autoSpaceDN w:val="0"/>
              <w:adjustRightInd w:val="0"/>
              <w:spacing w:after="120" w:line="259" w:lineRule="auto"/>
              <w:jc w:val="both"/>
              <w:rPr>
                <w:rFonts w:ascii="Times New Roman" w:hAnsi="Times New Roman" w:cs="Times New Roman"/>
                <w:b/>
                <w:bCs/>
              </w:rPr>
            </w:pPr>
          </w:p>
        </w:tc>
        <w:tc>
          <w:tcPr>
            <w:tcW w:w="333" w:type="dxa"/>
            <w:gridSpan w:val="2"/>
            <w:tcBorders>
              <w:top w:val="nil"/>
              <w:left w:val="nil"/>
              <w:bottom w:val="nil"/>
              <w:right w:val="nil"/>
            </w:tcBorders>
          </w:tcPr>
          <w:p w14:paraId="503571CC" w14:textId="77777777"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rPr>
            </w:pPr>
          </w:p>
        </w:tc>
        <w:tc>
          <w:tcPr>
            <w:tcW w:w="3895" w:type="dxa"/>
            <w:tcBorders>
              <w:top w:val="nil"/>
              <w:left w:val="nil"/>
              <w:bottom w:val="nil"/>
              <w:right w:val="nil"/>
            </w:tcBorders>
          </w:tcPr>
          <w:p w14:paraId="1F14A1ED" w14:textId="55EBC019"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bCs/>
              </w:rPr>
            </w:pPr>
            <w:bookmarkStart w:id="33" w:name="_Toc67590183"/>
            <w:r w:rsidRPr="00717728">
              <w:rPr>
                <w:rFonts w:ascii="Times New Roman" w:hAnsi="Times New Roman" w:cs="Times New Roman"/>
                <w:b/>
              </w:rPr>
              <w:t>ARTICLE 16 – Accounting and bank management</w:t>
            </w:r>
            <w:bookmarkEnd w:id="33"/>
          </w:p>
        </w:tc>
      </w:tr>
      <w:tr w:rsidR="00495ADE" w:rsidRPr="00717728" w14:paraId="0A3E120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50DA861" w14:textId="3D3D5FD9" w:rsidR="00495ADE" w:rsidRPr="00AA07B7" w:rsidRDefault="00495ADE" w:rsidP="003622B0">
            <w:pPr>
              <w:spacing w:after="120" w:line="259" w:lineRule="auto"/>
              <w:contextualSpacing/>
              <w:jc w:val="both"/>
              <w:rPr>
                <w:rFonts w:ascii="Times New Roman" w:hAnsi="Times New Roman" w:cs="Times New Roman"/>
                <w:szCs w:val="18"/>
              </w:rPr>
            </w:pPr>
            <w:r w:rsidRPr="00AA07B7">
              <w:rPr>
                <w:rFonts w:ascii="Times New Roman" w:hAnsi="Times New Roman" w:cs="Times New Roman"/>
                <w:szCs w:val="18"/>
              </w:rPr>
              <w:t xml:space="preserve">16.1 </w:t>
            </w:r>
            <w:r w:rsidRPr="000941D1">
              <w:rPr>
                <w:rFonts w:ascii="Times New Roman" w:hAnsi="Times New Roman" w:cs="Times New Roman"/>
                <w:bCs/>
              </w:rPr>
              <w:t>Ենթադրամաշնորհառուն</w:t>
            </w:r>
            <w:r w:rsidR="003A3A12" w:rsidRPr="000941D1">
              <w:rPr>
                <w:rFonts w:ascii="Times New Roman" w:hAnsi="Times New Roman" w:cs="Times New Roman"/>
                <w:bCs/>
              </w:rPr>
              <w:t xml:space="preserve"> </w:t>
            </w:r>
            <w:r w:rsidRPr="00AA07B7">
              <w:rPr>
                <w:rFonts w:ascii="Times New Roman" w:hAnsi="Times New Roman" w:cs="Times New Roman"/>
                <w:szCs w:val="18"/>
              </w:rPr>
              <w:t xml:space="preserve">պետք է վարեն ենթադրամաշնորհի իրականացման կանոնավոր և ճշգրիտ հաշվառում՝ կիրառելով համապատասխան հաշվապահական հաշվառման և </w:t>
            </w:r>
            <w:r w:rsidRPr="000941D1">
              <w:rPr>
                <w:rFonts w:ascii="Times New Roman" w:hAnsi="Times New Roman" w:cs="Times New Roman"/>
                <w:szCs w:val="18"/>
              </w:rPr>
              <w:t xml:space="preserve">կրկնակի գրանցման </w:t>
            </w:r>
            <w:r w:rsidRPr="00AA07B7">
              <w:rPr>
                <w:rFonts w:ascii="Times New Roman" w:hAnsi="Times New Roman" w:cs="Times New Roman"/>
                <w:szCs w:val="18"/>
              </w:rPr>
              <w:t xml:space="preserve">համակարգը՝ համաձայն ՀՀ գործող օրենսդրության դրույթների: </w:t>
            </w:r>
          </w:p>
          <w:p w14:paraId="58018EE4" w14:textId="77777777" w:rsidR="00495ADE" w:rsidRPr="00AA07B7" w:rsidRDefault="00495ADE" w:rsidP="003622B0">
            <w:pPr>
              <w:spacing w:after="120" w:line="259" w:lineRule="auto"/>
              <w:contextualSpacing/>
              <w:jc w:val="both"/>
              <w:rPr>
                <w:rFonts w:ascii="Times New Roman" w:hAnsi="Times New Roman" w:cs="Times New Roman"/>
                <w:szCs w:val="18"/>
              </w:rPr>
            </w:pPr>
            <w:r w:rsidRPr="00AA07B7">
              <w:rPr>
                <w:rFonts w:ascii="Times New Roman" w:hAnsi="Times New Roman" w:cs="Times New Roman"/>
                <w:szCs w:val="18"/>
              </w:rPr>
              <w:t>Հաշվապահական համակարգը՝</w:t>
            </w:r>
          </w:p>
          <w:p w14:paraId="4ED3B21E" w14:textId="07610167" w:rsidR="00495ADE" w:rsidRPr="00AA07B7" w:rsidRDefault="00495ADE" w:rsidP="000A26A8">
            <w:pPr>
              <w:pStyle w:val="ListParagraph"/>
              <w:numPr>
                <w:ilvl w:val="0"/>
                <w:numId w:val="8"/>
              </w:numPr>
              <w:spacing w:after="120" w:line="259" w:lineRule="auto"/>
              <w:ind w:left="771" w:hanging="357"/>
              <w:jc w:val="both"/>
              <w:rPr>
                <w:rFonts w:ascii="Times New Roman" w:hAnsi="Times New Roman" w:cs="Times New Roman"/>
                <w:szCs w:val="18"/>
              </w:rPr>
            </w:pPr>
            <w:r w:rsidRPr="00AA07B7">
              <w:rPr>
                <w:rFonts w:ascii="Times New Roman" w:hAnsi="Times New Roman" w:cs="Times New Roman"/>
              </w:rPr>
              <w:t xml:space="preserve">կարող է լինել </w:t>
            </w:r>
            <w:r w:rsidRPr="000941D1">
              <w:rPr>
                <w:rFonts w:ascii="Times New Roman" w:hAnsi="Times New Roman" w:cs="Times New Roman"/>
              </w:rPr>
              <w:t>Ենթադրամաշնորհառուի</w:t>
            </w:r>
            <w:r w:rsidR="003A3A12" w:rsidRPr="000941D1">
              <w:rPr>
                <w:rFonts w:ascii="Times New Roman" w:hAnsi="Times New Roman" w:cs="Times New Roman"/>
              </w:rPr>
              <w:t xml:space="preserve"> </w:t>
            </w:r>
            <w:r w:rsidRPr="00AA07B7">
              <w:rPr>
                <w:rFonts w:ascii="Times New Roman" w:hAnsi="Times New Roman" w:cs="Times New Roman"/>
              </w:rPr>
              <w:t>սովորական համակարգի ինտեգրված մաս կամ հավելում</w:t>
            </w:r>
            <w:r w:rsidRPr="000941D1">
              <w:rPr>
                <w:rFonts w:ascii="Times New Roman" w:hAnsi="Times New Roman" w:cs="Times New Roman"/>
                <w:bCs/>
              </w:rPr>
              <w:t>,</w:t>
            </w:r>
          </w:p>
          <w:p w14:paraId="6891F286" w14:textId="36281056" w:rsidR="00495ADE" w:rsidRPr="00AA07B7" w:rsidRDefault="00495ADE" w:rsidP="000A26A8">
            <w:pPr>
              <w:pStyle w:val="ListParagraph"/>
              <w:numPr>
                <w:ilvl w:val="0"/>
                <w:numId w:val="8"/>
              </w:numPr>
              <w:spacing w:after="120" w:line="259" w:lineRule="auto"/>
              <w:ind w:left="771" w:hanging="357"/>
              <w:jc w:val="both"/>
              <w:rPr>
                <w:rFonts w:ascii="Times New Roman" w:hAnsi="Times New Roman" w:cs="Times New Roman"/>
                <w:b/>
              </w:rPr>
            </w:pPr>
            <w:r w:rsidRPr="00AA07B7">
              <w:rPr>
                <w:rFonts w:ascii="Times New Roman" w:hAnsi="Times New Roman" w:cs="Times New Roman"/>
              </w:rPr>
              <w:t>պետք է թույլ տա Գործողությանն առնչվող եկամուտների և ծախսերի հեշտությամբ հետևել, նույնականացնել և ստուգել:</w:t>
            </w:r>
          </w:p>
        </w:tc>
        <w:tc>
          <w:tcPr>
            <w:tcW w:w="333" w:type="dxa"/>
            <w:gridSpan w:val="2"/>
            <w:tcBorders>
              <w:top w:val="nil"/>
              <w:left w:val="nil"/>
              <w:bottom w:val="nil"/>
              <w:right w:val="nil"/>
            </w:tcBorders>
          </w:tcPr>
          <w:p w14:paraId="29C2EDDF" w14:textId="77777777" w:rsidR="00495ADE" w:rsidRPr="00AA07B7" w:rsidRDefault="00495ADE" w:rsidP="0029313B">
            <w:pPr>
              <w:spacing w:after="120" w:line="259" w:lineRule="auto"/>
              <w:contextualSpacing/>
              <w:jc w:val="both"/>
              <w:rPr>
                <w:rFonts w:ascii="Times New Roman" w:hAnsi="Times New Roman" w:cs="Times New Roman"/>
                <w:szCs w:val="18"/>
              </w:rPr>
            </w:pPr>
          </w:p>
        </w:tc>
        <w:tc>
          <w:tcPr>
            <w:tcW w:w="3895" w:type="dxa"/>
            <w:tcBorders>
              <w:top w:val="nil"/>
              <w:left w:val="nil"/>
              <w:bottom w:val="nil"/>
              <w:right w:val="nil"/>
            </w:tcBorders>
          </w:tcPr>
          <w:p w14:paraId="21E1E7B3" w14:textId="4AA7B6DC" w:rsidR="00495ADE" w:rsidRPr="00AA07B7" w:rsidRDefault="00495ADE" w:rsidP="0029313B">
            <w:pPr>
              <w:spacing w:after="120" w:line="259" w:lineRule="auto"/>
              <w:contextualSpacing/>
              <w:jc w:val="both"/>
              <w:rPr>
                <w:rFonts w:ascii="Times New Roman" w:hAnsi="Times New Roman" w:cs="Times New Roman"/>
                <w:szCs w:val="18"/>
              </w:rPr>
            </w:pPr>
            <w:r w:rsidRPr="00AA07B7">
              <w:rPr>
                <w:rFonts w:ascii="Times New Roman" w:hAnsi="Times New Roman" w:cs="Times New Roman"/>
                <w:szCs w:val="18"/>
              </w:rPr>
              <w:t xml:space="preserve">16.1 The </w:t>
            </w:r>
            <w:r w:rsidRPr="000941D1">
              <w:rPr>
                <w:rFonts w:ascii="Times New Roman" w:hAnsi="Times New Roman" w:cs="Times New Roman"/>
                <w:bCs/>
              </w:rPr>
              <w:t xml:space="preserve">Sub-Grantee </w:t>
            </w:r>
            <w:r w:rsidRPr="00AA07B7">
              <w:rPr>
                <w:rFonts w:ascii="Times New Roman" w:hAnsi="Times New Roman" w:cs="Times New Roman"/>
                <w:szCs w:val="18"/>
              </w:rPr>
              <w:t xml:space="preserve">shall maintain accurate and regular accounts of the implementation of the Sub-Grant using an appropriate accounting and double-entry book-keeping system, compliant with the relevant in-force provisions of Armenian legislation. </w:t>
            </w:r>
          </w:p>
          <w:p w14:paraId="7282704D" w14:textId="77777777" w:rsidR="00495ADE" w:rsidRPr="00AA07B7" w:rsidRDefault="00495ADE" w:rsidP="0029313B">
            <w:pPr>
              <w:spacing w:after="120" w:line="259" w:lineRule="auto"/>
              <w:contextualSpacing/>
              <w:jc w:val="both"/>
              <w:rPr>
                <w:rFonts w:ascii="Times New Roman" w:hAnsi="Times New Roman" w:cs="Times New Roman"/>
                <w:szCs w:val="18"/>
              </w:rPr>
            </w:pPr>
            <w:r w:rsidRPr="00AA07B7">
              <w:rPr>
                <w:rFonts w:ascii="Times New Roman" w:hAnsi="Times New Roman" w:cs="Times New Roman"/>
                <w:szCs w:val="18"/>
              </w:rPr>
              <w:t>The accounting system:</w:t>
            </w:r>
          </w:p>
          <w:p w14:paraId="111B359C" w14:textId="03E8FA99" w:rsidR="00495ADE" w:rsidRPr="00AA07B7" w:rsidRDefault="00495ADE" w:rsidP="000941D1">
            <w:pPr>
              <w:pStyle w:val="ListParagraph"/>
              <w:numPr>
                <w:ilvl w:val="0"/>
                <w:numId w:val="8"/>
              </w:numPr>
              <w:spacing w:after="120" w:line="259" w:lineRule="auto"/>
              <w:ind w:left="771" w:hanging="357"/>
              <w:jc w:val="both"/>
              <w:rPr>
                <w:rFonts w:ascii="Times New Roman" w:hAnsi="Times New Roman" w:cs="Times New Roman"/>
                <w:szCs w:val="18"/>
              </w:rPr>
            </w:pPr>
            <w:r w:rsidRPr="00AA07B7">
              <w:rPr>
                <w:rFonts w:ascii="Times New Roman" w:hAnsi="Times New Roman" w:cs="Times New Roman"/>
              </w:rPr>
              <w:t xml:space="preserve">may be an integrated part of or an adjunct to the </w:t>
            </w:r>
            <w:r w:rsidRPr="000941D1">
              <w:rPr>
                <w:rFonts w:ascii="Times New Roman" w:hAnsi="Times New Roman" w:cs="Times New Roman"/>
                <w:bCs/>
              </w:rPr>
              <w:t xml:space="preserve">Sub-Grantee’s </w:t>
            </w:r>
            <w:r w:rsidRPr="00AA07B7">
              <w:rPr>
                <w:rFonts w:ascii="Times New Roman" w:hAnsi="Times New Roman" w:cs="Times New Roman"/>
              </w:rPr>
              <w:t>regular system;</w:t>
            </w:r>
          </w:p>
          <w:p w14:paraId="45668D0D" w14:textId="5BE449E8" w:rsidR="00495ADE" w:rsidRPr="00AA07B7" w:rsidRDefault="00495ADE" w:rsidP="000941D1">
            <w:pPr>
              <w:pStyle w:val="ListParagraph"/>
              <w:numPr>
                <w:ilvl w:val="0"/>
                <w:numId w:val="8"/>
              </w:numPr>
              <w:spacing w:after="120" w:line="259" w:lineRule="auto"/>
              <w:ind w:left="771" w:hanging="357"/>
              <w:jc w:val="both"/>
              <w:rPr>
                <w:rFonts w:ascii="Times New Roman" w:hAnsi="Times New Roman" w:cs="Times New Roman"/>
              </w:rPr>
            </w:pPr>
            <w:r w:rsidRPr="00AA07B7">
              <w:rPr>
                <w:rFonts w:ascii="Times New Roman" w:hAnsi="Times New Roman" w:cs="Times New Roman"/>
              </w:rPr>
              <w:t xml:space="preserve">shall enable income and expenditure relating to the action </w:t>
            </w:r>
            <w:r w:rsidRPr="00AA07B7">
              <w:rPr>
                <w:rFonts w:ascii="Times New Roman" w:hAnsi="Times New Roman" w:cs="Times New Roman"/>
              </w:rPr>
              <w:lastRenderedPageBreak/>
              <w:t>to be easily traced, identified, and verified.</w:t>
            </w:r>
          </w:p>
        </w:tc>
      </w:tr>
      <w:tr w:rsidR="00495ADE" w:rsidRPr="00717728" w14:paraId="76E7D9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A456185" w14:textId="16D99A7A" w:rsidR="00495ADE" w:rsidRPr="00AA07B7" w:rsidRDefault="00495ADE">
            <w:pPr>
              <w:autoSpaceDE w:val="0"/>
              <w:autoSpaceDN w:val="0"/>
              <w:adjustRightInd w:val="0"/>
              <w:spacing w:after="120" w:line="259" w:lineRule="auto"/>
              <w:contextualSpacing/>
              <w:jc w:val="both"/>
              <w:rPr>
                <w:rFonts w:ascii="Times New Roman" w:hAnsi="Times New Roman" w:cs="Times New Roman"/>
              </w:rPr>
            </w:pPr>
            <w:r w:rsidRPr="00AA07B7">
              <w:rPr>
                <w:rFonts w:ascii="Times New Roman" w:hAnsi="Times New Roman" w:cs="Times New Roman"/>
                <w:szCs w:val="18"/>
              </w:rPr>
              <w:lastRenderedPageBreak/>
              <w:t xml:space="preserve">16.2 </w:t>
            </w:r>
            <w:r w:rsidRPr="000941D1">
              <w:rPr>
                <w:rFonts w:ascii="Times New Roman" w:hAnsi="Times New Roman" w:cs="Times New Roman"/>
                <w:bCs/>
              </w:rPr>
              <w:t>Ենթադրամաշնորհառուն</w:t>
            </w:r>
            <w:r w:rsidR="003A3A12" w:rsidRPr="000941D1">
              <w:rPr>
                <w:rFonts w:ascii="Times New Roman" w:hAnsi="Times New Roman" w:cs="Times New Roman"/>
                <w:bCs/>
              </w:rPr>
              <w:t xml:space="preserve"> </w:t>
            </w:r>
            <w:r w:rsidRPr="00AA07B7">
              <w:rPr>
                <w:rFonts w:ascii="Times New Roman" w:hAnsi="Times New Roman" w:cs="Times New Roman"/>
              </w:rPr>
              <w:t xml:space="preserve">պետք է </w:t>
            </w:r>
            <w:r w:rsidR="003A3A12" w:rsidRPr="00AA07B7">
              <w:rPr>
                <w:rFonts w:ascii="Times New Roman" w:hAnsi="Times New Roman" w:cs="Times New Roman"/>
              </w:rPr>
              <w:t xml:space="preserve">ապահովի </w:t>
            </w:r>
            <w:r w:rsidRPr="00AA07B7">
              <w:rPr>
                <w:rFonts w:ascii="Times New Roman" w:hAnsi="Times New Roman" w:cs="Times New Roman"/>
              </w:rPr>
              <w:t>6-րդ և 15-րդ հոդվածներով պահանջվող ֆինանսական հաշվետվությունների պատշաճ կերպով և հեշտությամբ համադրումը հաշվապահական հաշվառման և հաշվետար համակարգի, ինչպես նաև հաշվապահական և այլ հարակից էական գրառումների հետ:</w:t>
            </w:r>
          </w:p>
        </w:tc>
        <w:tc>
          <w:tcPr>
            <w:tcW w:w="333" w:type="dxa"/>
            <w:gridSpan w:val="2"/>
            <w:tcBorders>
              <w:top w:val="nil"/>
              <w:left w:val="nil"/>
              <w:bottom w:val="nil"/>
              <w:right w:val="nil"/>
            </w:tcBorders>
          </w:tcPr>
          <w:p w14:paraId="5EC029E0" w14:textId="77777777" w:rsidR="00495ADE" w:rsidRPr="00AA07B7" w:rsidRDefault="00495ADE" w:rsidP="000D133A">
            <w:pPr>
              <w:tabs>
                <w:tab w:val="left" w:pos="6237"/>
              </w:tabs>
              <w:spacing w:before="60" w:after="60" w:line="240" w:lineRule="auto"/>
              <w:jc w:val="both"/>
              <w:rPr>
                <w:rFonts w:ascii="Times New Roman" w:hAnsi="Times New Roman" w:cs="Times New Roman"/>
                <w:szCs w:val="18"/>
              </w:rPr>
            </w:pPr>
          </w:p>
        </w:tc>
        <w:tc>
          <w:tcPr>
            <w:tcW w:w="3895" w:type="dxa"/>
            <w:tcBorders>
              <w:top w:val="nil"/>
              <w:left w:val="nil"/>
              <w:bottom w:val="nil"/>
              <w:right w:val="nil"/>
            </w:tcBorders>
          </w:tcPr>
          <w:p w14:paraId="22BAE4CA" w14:textId="1008F0F1" w:rsidR="00495ADE" w:rsidRPr="00AA07B7" w:rsidRDefault="00495ADE" w:rsidP="000D133A">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szCs w:val="18"/>
              </w:rPr>
              <w:t xml:space="preserve">16.2 </w:t>
            </w:r>
            <w:r w:rsidRPr="00AA07B7">
              <w:rPr>
                <w:rFonts w:ascii="Times New Roman" w:hAnsi="Times New Roman" w:cs="Times New Roman"/>
              </w:rPr>
              <w:t xml:space="preserve">The </w:t>
            </w:r>
            <w:r w:rsidRPr="000941D1">
              <w:rPr>
                <w:rFonts w:ascii="Times New Roman" w:hAnsi="Times New Roman" w:cs="Times New Roman"/>
                <w:bCs/>
              </w:rPr>
              <w:t xml:space="preserve">Sub-Grantee </w:t>
            </w:r>
            <w:r w:rsidRPr="00AA07B7">
              <w:rPr>
                <w:rFonts w:ascii="Times New Roman" w:hAnsi="Times New Roman" w:cs="Times New Roman"/>
              </w:rPr>
              <w:t>shall ensure that any financial report as required under Articles 6 and 15 can be properly and easily reconciled to the accounting and bookkeeping system and to the underlying accounting and other relevant records.</w:t>
            </w:r>
          </w:p>
        </w:tc>
      </w:tr>
      <w:tr w:rsidR="00495ADE" w:rsidRPr="00717728" w14:paraId="625716A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3AE0CD3" w14:textId="330DC49B" w:rsidR="00495ADE" w:rsidRPr="00AA07B7" w:rsidRDefault="00495ADE" w:rsidP="00F8756B">
            <w:pPr>
              <w:autoSpaceDE w:val="0"/>
              <w:autoSpaceDN w:val="0"/>
              <w:adjustRightInd w:val="0"/>
              <w:spacing w:after="120" w:line="259" w:lineRule="auto"/>
              <w:jc w:val="both"/>
              <w:rPr>
                <w:rFonts w:ascii="Times New Roman" w:hAnsi="Times New Roman" w:cs="Times New Roman"/>
              </w:rPr>
            </w:pPr>
            <w:r w:rsidRPr="00AA07B7">
              <w:rPr>
                <w:rFonts w:ascii="Times New Roman" w:hAnsi="Times New Roman" w:cs="Times New Roman"/>
              </w:rPr>
              <w:t>16.3 Ենթադրամաշնորհառուն պետք է ունենա առանձին բանկային</w:t>
            </w:r>
            <w:r w:rsidR="00710BA4" w:rsidRPr="00AA07B7">
              <w:rPr>
                <w:rFonts w:ascii="Times New Roman" w:hAnsi="Times New Roman" w:cs="Times New Roman"/>
                <w:lang w:val="hy-AM"/>
              </w:rPr>
              <w:t>/գանձապետական</w:t>
            </w:r>
            <w:r w:rsidRPr="00AA07B7">
              <w:rPr>
                <w:rFonts w:ascii="Times New Roman" w:hAnsi="Times New Roman" w:cs="Times New Roman"/>
              </w:rPr>
              <w:t xml:space="preserve"> հաշիվ ՀՀ դրամով, որն օգտագործվում է բացառապես Պայմանագրին վերաբերող գործարքների համար: Ենթադրամաշնորհատուի կողմից բոլոր վճարումները պետք է կատարվեն այդ հաշվին 12.1-ին հոդվածի a, (iii) և (g)   մասով սահմանված կարգով:   </w:t>
            </w:r>
          </w:p>
        </w:tc>
        <w:tc>
          <w:tcPr>
            <w:tcW w:w="333" w:type="dxa"/>
            <w:gridSpan w:val="2"/>
            <w:tcBorders>
              <w:top w:val="nil"/>
              <w:left w:val="nil"/>
              <w:bottom w:val="nil"/>
              <w:right w:val="nil"/>
            </w:tcBorders>
          </w:tcPr>
          <w:p w14:paraId="3ACDAA93" w14:textId="77777777" w:rsidR="00495ADE" w:rsidRPr="00AA07B7" w:rsidRDefault="00495ADE" w:rsidP="0029313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72E9D58" w14:textId="1B7F9111" w:rsidR="00495ADE" w:rsidRPr="00AA07B7" w:rsidRDefault="00495ADE" w:rsidP="0029313B">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 xml:space="preserve">16.3 The Sub-Grantee must have a </w:t>
            </w:r>
            <w:r w:rsidRPr="00AA07B7">
              <w:rPr>
                <w:rFonts w:ascii="Times New Roman" w:hAnsi="Times New Roman" w:cs="Times New Roman"/>
                <w:szCs w:val="18"/>
              </w:rPr>
              <w:t xml:space="preserve">separate </w:t>
            </w:r>
            <w:r w:rsidRPr="00AA07B7">
              <w:rPr>
                <w:rFonts w:ascii="Times New Roman" w:hAnsi="Times New Roman" w:cs="Times New Roman"/>
              </w:rPr>
              <w:t>bank</w:t>
            </w:r>
            <w:r w:rsidR="000A26A8" w:rsidRPr="00AA07B7">
              <w:rPr>
                <w:rFonts w:ascii="Times New Roman" w:hAnsi="Times New Roman" w:cs="Times New Roman"/>
              </w:rPr>
              <w:t>/treasury</w:t>
            </w:r>
            <w:r w:rsidRPr="00AA07B7">
              <w:rPr>
                <w:rFonts w:ascii="Times New Roman" w:hAnsi="Times New Roman" w:cs="Times New Roman"/>
              </w:rPr>
              <w:t xml:space="preserve"> account in AMD that shall be used exclusively for transactions concerning this Sub-Grant Contract. All payments by the Sub-grantor shall be made on that account, as stipulated by art. 12.1, a, (iii), (g)</w:t>
            </w:r>
          </w:p>
        </w:tc>
      </w:tr>
      <w:tr w:rsidR="00495ADE" w:rsidRPr="00717728" w14:paraId="25634BF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20BFA47" w14:textId="22345F98" w:rsidR="00495ADE" w:rsidRPr="00AA07B7" w:rsidRDefault="00495ADE" w:rsidP="00737571">
            <w:pPr>
              <w:spacing w:after="120" w:line="259" w:lineRule="auto"/>
              <w:contextualSpacing/>
              <w:jc w:val="both"/>
              <w:rPr>
                <w:rFonts w:ascii="Times New Roman" w:hAnsi="Times New Roman" w:cs="Times New Roman"/>
                <w:bCs/>
              </w:rPr>
            </w:pPr>
            <w:r w:rsidRPr="00AA07B7">
              <w:rPr>
                <w:rFonts w:ascii="Times New Roman" w:hAnsi="Times New Roman" w:cs="Times New Roman"/>
              </w:rPr>
              <w:t xml:space="preserve">16.4 </w:t>
            </w:r>
            <w:r w:rsidRPr="000941D1">
              <w:rPr>
                <w:rFonts w:ascii="Times New Roman" w:hAnsi="Times New Roman" w:cs="Times New Roman"/>
                <w:bCs/>
              </w:rPr>
              <w:t>Ենթադրամաշնորհառուի</w:t>
            </w:r>
            <w:r w:rsidR="003A3A12" w:rsidRPr="000941D1">
              <w:rPr>
                <w:rFonts w:ascii="Times New Roman" w:hAnsi="Times New Roman" w:cs="Times New Roman"/>
                <w:bCs/>
              </w:rPr>
              <w:t xml:space="preserve"> </w:t>
            </w:r>
            <w:r w:rsidRPr="00AA07B7">
              <w:rPr>
                <w:rFonts w:ascii="Times New Roman" w:hAnsi="Times New Roman" w:cs="Times New Roman"/>
              </w:rPr>
              <w:t>կողմից կանխիկ վճարումներն արգելված են:</w:t>
            </w:r>
          </w:p>
        </w:tc>
        <w:tc>
          <w:tcPr>
            <w:tcW w:w="333" w:type="dxa"/>
            <w:gridSpan w:val="2"/>
            <w:tcBorders>
              <w:top w:val="nil"/>
              <w:left w:val="nil"/>
              <w:bottom w:val="nil"/>
              <w:right w:val="nil"/>
            </w:tcBorders>
          </w:tcPr>
          <w:p w14:paraId="7924D5B9" w14:textId="77777777" w:rsidR="00495ADE" w:rsidRPr="00AA07B7" w:rsidRDefault="00495ADE" w:rsidP="00B47A01">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08D3CD3" w14:textId="2287DA68" w:rsidR="00495ADE" w:rsidRPr="00AA07B7" w:rsidRDefault="00495ADE" w:rsidP="00B47A01">
            <w:pPr>
              <w:tabs>
                <w:tab w:val="left" w:pos="6237"/>
              </w:tabs>
              <w:spacing w:before="60" w:after="60" w:line="240" w:lineRule="auto"/>
              <w:jc w:val="both"/>
              <w:rPr>
                <w:rFonts w:ascii="Times New Roman" w:hAnsi="Times New Roman" w:cs="Times New Roman"/>
                <w:b/>
              </w:rPr>
            </w:pPr>
            <w:r w:rsidRPr="00AA07B7">
              <w:rPr>
                <w:rFonts w:ascii="Times New Roman" w:hAnsi="Times New Roman" w:cs="Times New Roman"/>
              </w:rPr>
              <w:t xml:space="preserve">16.4 Payments in cash by the </w:t>
            </w:r>
            <w:r w:rsidRPr="000941D1">
              <w:rPr>
                <w:rFonts w:ascii="Times New Roman" w:hAnsi="Times New Roman" w:cs="Times New Roman"/>
                <w:bCs/>
              </w:rPr>
              <w:t xml:space="preserve">Sub-Grantee  </w:t>
            </w:r>
            <w:r w:rsidRPr="00AA07B7">
              <w:rPr>
                <w:rFonts w:ascii="Times New Roman" w:hAnsi="Times New Roman" w:cs="Times New Roman"/>
                <w:bCs/>
              </w:rPr>
              <w:t>are not allowed.</w:t>
            </w:r>
          </w:p>
        </w:tc>
      </w:tr>
      <w:tr w:rsidR="00495ADE" w:rsidRPr="00717728" w14:paraId="4449566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D66DA83" w14:textId="11DC7249" w:rsidR="00495ADE" w:rsidRPr="00717728" w:rsidRDefault="00495ADE" w:rsidP="00FF2419">
            <w:pPr>
              <w:autoSpaceDE w:val="0"/>
              <w:autoSpaceDN w:val="0"/>
              <w:adjustRightInd w:val="0"/>
              <w:spacing w:after="120" w:line="259" w:lineRule="auto"/>
              <w:jc w:val="both"/>
              <w:rPr>
                <w:rFonts w:ascii="Times New Roman" w:hAnsi="Times New Roman" w:cs="Times New Roman"/>
                <w:b/>
              </w:rPr>
            </w:pPr>
            <w:bookmarkStart w:id="34" w:name="_Toc70236984"/>
            <w:r w:rsidRPr="00717728">
              <w:rPr>
                <w:rFonts w:ascii="Times New Roman" w:hAnsi="Times New Roman" w:cs="Times New Roman"/>
                <w:b/>
              </w:rPr>
              <w:t>ՀՈԴՎԱԾ 17 – Տեխնիկական և ֆինանսական ստուգումներ</w:t>
            </w:r>
            <w:bookmarkEnd w:id="34"/>
          </w:p>
        </w:tc>
        <w:tc>
          <w:tcPr>
            <w:tcW w:w="333" w:type="dxa"/>
            <w:gridSpan w:val="2"/>
            <w:tcBorders>
              <w:top w:val="nil"/>
              <w:left w:val="nil"/>
              <w:bottom w:val="nil"/>
              <w:right w:val="nil"/>
            </w:tcBorders>
          </w:tcPr>
          <w:p w14:paraId="3CA7159E" w14:textId="77777777" w:rsidR="00495ADE" w:rsidRPr="00717728" w:rsidRDefault="00495ADE" w:rsidP="0029313B">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DD9B6DF" w14:textId="15280DD3" w:rsidR="00495ADE" w:rsidRPr="00717728" w:rsidRDefault="00495ADE" w:rsidP="0029313B">
            <w:pPr>
              <w:tabs>
                <w:tab w:val="left" w:pos="6237"/>
              </w:tabs>
              <w:spacing w:before="60" w:after="60" w:line="240" w:lineRule="auto"/>
              <w:jc w:val="both"/>
              <w:rPr>
                <w:rFonts w:ascii="Times New Roman" w:hAnsi="Times New Roman" w:cs="Times New Roman"/>
                <w:b/>
              </w:rPr>
            </w:pPr>
            <w:bookmarkStart w:id="35" w:name="_Toc67590184"/>
            <w:r w:rsidRPr="00717728">
              <w:rPr>
                <w:rFonts w:ascii="Times New Roman" w:hAnsi="Times New Roman" w:cs="Times New Roman"/>
                <w:b/>
              </w:rPr>
              <w:t>ARTICLE 17 – Technical and Financial Checks</w:t>
            </w:r>
            <w:bookmarkEnd w:id="35"/>
          </w:p>
        </w:tc>
      </w:tr>
      <w:tr w:rsidR="00495ADE" w:rsidRPr="00717728" w14:paraId="0F08783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534FADA1" w14:textId="21DEC1B2" w:rsidR="00495ADE" w:rsidRPr="000941D1" w:rsidRDefault="00495ADE" w:rsidP="003622B0">
            <w:pPr>
              <w:tabs>
                <w:tab w:val="left" w:pos="4536"/>
              </w:tabs>
              <w:spacing w:after="120" w:line="259" w:lineRule="auto"/>
              <w:contextualSpacing/>
              <w:jc w:val="both"/>
              <w:rPr>
                <w:rFonts w:ascii="Times New Roman" w:eastAsia="Calibri" w:hAnsi="Times New Roman" w:cs="Times New Roman"/>
                <w:lang w:val="en-GB"/>
              </w:rPr>
            </w:pPr>
            <w:r w:rsidRPr="000941D1">
              <w:rPr>
                <w:rFonts w:ascii="Times New Roman" w:eastAsia="Calibri" w:hAnsi="Times New Roman" w:cs="Times New Roman"/>
                <w:lang w:val="en-GB"/>
              </w:rPr>
              <w:t xml:space="preserve">17.1. </w:t>
            </w:r>
            <w:r w:rsidRPr="000941D1">
              <w:rPr>
                <w:rFonts w:ascii="Times New Roman" w:eastAsia="Times New Roman" w:hAnsi="Times New Roman" w:cs="Times New Roman"/>
                <w:bCs/>
                <w:lang w:val="en-GB"/>
              </w:rPr>
              <w:t>Ենթադրամաշնորհառուն</w:t>
            </w:r>
            <w:r w:rsidR="003A3A12" w:rsidRPr="000941D1">
              <w:rPr>
                <w:rFonts w:ascii="Times New Roman" w:eastAsia="Times New Roman" w:hAnsi="Times New Roman" w:cs="Times New Roman"/>
                <w:bCs/>
                <w:lang w:val="en-GB"/>
              </w:rPr>
              <w:t xml:space="preserve"> </w:t>
            </w:r>
            <w:r w:rsidRPr="000941D1">
              <w:rPr>
                <w:rFonts w:ascii="Times New Roman" w:eastAsia="Calibri" w:hAnsi="Times New Roman" w:cs="Times New Roman"/>
                <w:lang w:val="en-GB"/>
              </w:rPr>
              <w:t xml:space="preserve">պարտավոր </w:t>
            </w:r>
            <w:r w:rsidR="003A3A12" w:rsidRPr="000941D1">
              <w:rPr>
                <w:rFonts w:ascii="Times New Roman" w:eastAsia="Calibri" w:hAnsi="Times New Roman" w:cs="Times New Roman"/>
                <w:lang w:val="en-GB"/>
              </w:rPr>
              <w:t xml:space="preserve">է </w:t>
            </w:r>
            <w:r w:rsidRPr="000941D1">
              <w:rPr>
                <w:rFonts w:ascii="Times New Roman" w:eastAsia="Calibri" w:hAnsi="Times New Roman" w:cs="Times New Roman"/>
                <w:lang w:val="en-GB"/>
              </w:rPr>
              <w:t xml:space="preserve">թույլ տալ Ենթադրամաշնորհատուին, Ենթադրամաշնորհատուի կողմից լիազորված ցանկացած արտաքին աուդիտորին, Եվրոպական Հանձնաժողովին, Խարդախության դեմ պայքարի եվրոպական գրասենյակին Աուդիտորների եվրոպական դատարանի կողմից իրականացնել ստուգումներ: Այդ նպատակով </w:t>
            </w:r>
            <w:r w:rsidRPr="000941D1">
              <w:rPr>
                <w:rFonts w:ascii="Times New Roman" w:eastAsia="Times New Roman" w:hAnsi="Times New Roman" w:cs="Times New Roman"/>
                <w:bCs/>
                <w:lang w:val="en-GB"/>
              </w:rPr>
              <w:t>Ենթադրամաշնորհառուն</w:t>
            </w:r>
            <w:r w:rsidR="003A3A12" w:rsidRPr="000941D1">
              <w:rPr>
                <w:rFonts w:ascii="Times New Roman" w:eastAsia="Times New Roman" w:hAnsi="Times New Roman" w:cs="Times New Roman"/>
                <w:bCs/>
                <w:lang w:val="en-GB"/>
              </w:rPr>
              <w:t xml:space="preserve"> </w:t>
            </w:r>
            <w:r w:rsidRPr="000941D1">
              <w:rPr>
                <w:rFonts w:ascii="Times New Roman" w:eastAsia="Calibri" w:hAnsi="Times New Roman" w:cs="Times New Roman"/>
                <w:lang w:val="en-GB"/>
              </w:rPr>
              <w:t xml:space="preserve">պարտավոր </w:t>
            </w:r>
            <w:r w:rsidR="003A3A12" w:rsidRPr="000941D1">
              <w:rPr>
                <w:rFonts w:ascii="Times New Roman" w:eastAsia="Calibri" w:hAnsi="Times New Roman" w:cs="Times New Roman"/>
                <w:lang w:val="en-GB"/>
              </w:rPr>
              <w:t xml:space="preserve">է </w:t>
            </w:r>
            <w:r w:rsidRPr="000941D1">
              <w:rPr>
                <w:rFonts w:ascii="Times New Roman" w:eastAsia="Calibri" w:hAnsi="Times New Roman" w:cs="Times New Roman"/>
                <w:lang w:val="en-GB"/>
              </w:rPr>
              <w:t>թույլ տալ հիշատակված սուբյեկտներին հետևյալը.</w:t>
            </w:r>
          </w:p>
          <w:p w14:paraId="32C4DA5F" w14:textId="71877775" w:rsidR="00495ADE" w:rsidRPr="000941D1" w:rsidRDefault="00495ADE" w:rsidP="000941D1">
            <w:pPr>
              <w:numPr>
                <w:ilvl w:val="0"/>
                <w:numId w:val="9"/>
              </w:numPr>
              <w:tabs>
                <w:tab w:val="left" w:pos="4536"/>
              </w:tabs>
              <w:spacing w:afterLines="60" w:after="144" w:line="259" w:lineRule="auto"/>
              <w:ind w:left="714" w:hanging="357"/>
              <w:contextualSpacing/>
              <w:jc w:val="both"/>
              <w:rPr>
                <w:rFonts w:ascii="Times New Roman" w:eastAsia="Calibri" w:hAnsi="Times New Roman" w:cs="Times New Roman"/>
                <w:lang w:val="en-GB"/>
              </w:rPr>
            </w:pPr>
            <w:r w:rsidRPr="000941D1">
              <w:rPr>
                <w:rFonts w:ascii="Times New Roman" w:eastAsia="Calibri" w:hAnsi="Times New Roman" w:cs="Times New Roman"/>
                <w:lang w:val="en-GB"/>
              </w:rPr>
              <w:t>մուտք գործել Գործողության իրականացման վայր,</w:t>
            </w:r>
          </w:p>
          <w:p w14:paraId="44FA4308" w14:textId="5A18AF4D" w:rsidR="00495ADE" w:rsidRPr="000941D1" w:rsidRDefault="00495ADE" w:rsidP="000941D1">
            <w:pPr>
              <w:numPr>
                <w:ilvl w:val="0"/>
                <w:numId w:val="9"/>
              </w:numPr>
              <w:tabs>
                <w:tab w:val="left" w:pos="4536"/>
              </w:tabs>
              <w:spacing w:afterLines="60" w:after="144" w:line="259" w:lineRule="auto"/>
              <w:ind w:left="714" w:hanging="357"/>
              <w:contextualSpacing/>
              <w:jc w:val="both"/>
              <w:rPr>
                <w:rFonts w:ascii="Times New Roman" w:eastAsia="Calibri" w:hAnsi="Times New Roman" w:cs="Times New Roman"/>
                <w:lang w:val="en-GB"/>
              </w:rPr>
            </w:pPr>
            <w:r w:rsidRPr="000941D1">
              <w:rPr>
                <w:rFonts w:ascii="Times New Roman" w:eastAsia="Calibri" w:hAnsi="Times New Roman" w:cs="Times New Roman"/>
                <w:lang w:val="en-GB"/>
              </w:rPr>
              <w:t>ուսումնասիրել հաշվապահական և տեղեկատվական բոլոր համակարգերը, փաստաթղթերը և տվյալների շտեմարանները, որոնք առնչվում են Ենթադրամաշնորհառուի տեխնիկական և ֆինանսական կառավարմանը,</w:t>
            </w:r>
          </w:p>
          <w:p w14:paraId="4FEA5F8C" w14:textId="77777777" w:rsidR="00495ADE" w:rsidRPr="000941D1" w:rsidRDefault="00495ADE" w:rsidP="000941D1">
            <w:pPr>
              <w:numPr>
                <w:ilvl w:val="0"/>
                <w:numId w:val="9"/>
              </w:numPr>
              <w:tabs>
                <w:tab w:val="left" w:pos="4536"/>
              </w:tabs>
              <w:spacing w:afterLines="60" w:after="144" w:line="259" w:lineRule="auto"/>
              <w:ind w:left="714" w:hanging="357"/>
              <w:contextualSpacing/>
              <w:jc w:val="both"/>
              <w:rPr>
                <w:rFonts w:ascii="Times New Roman" w:eastAsia="Calibri" w:hAnsi="Times New Roman" w:cs="Times New Roman"/>
                <w:lang w:val="en-GB"/>
              </w:rPr>
            </w:pPr>
            <w:r w:rsidRPr="000941D1">
              <w:rPr>
                <w:rFonts w:ascii="Times New Roman" w:eastAsia="Calibri" w:hAnsi="Times New Roman" w:cs="Times New Roman"/>
                <w:lang w:val="en-GB"/>
              </w:rPr>
              <w:t>վերցնել փաստաթղթերի պատճենները,</w:t>
            </w:r>
          </w:p>
          <w:p w14:paraId="6D606F4C" w14:textId="77777777" w:rsidR="00495ADE" w:rsidRPr="000941D1" w:rsidRDefault="00495ADE" w:rsidP="000941D1">
            <w:pPr>
              <w:numPr>
                <w:ilvl w:val="0"/>
                <w:numId w:val="9"/>
              </w:numPr>
              <w:tabs>
                <w:tab w:val="left" w:pos="4536"/>
              </w:tabs>
              <w:spacing w:afterLines="60" w:after="144" w:line="259" w:lineRule="auto"/>
              <w:ind w:left="714" w:hanging="357"/>
              <w:contextualSpacing/>
              <w:jc w:val="both"/>
              <w:rPr>
                <w:rFonts w:ascii="Times New Roman" w:eastAsia="Calibri" w:hAnsi="Times New Roman" w:cs="Times New Roman"/>
                <w:lang w:val="en-GB"/>
              </w:rPr>
            </w:pPr>
            <w:r w:rsidRPr="000941D1">
              <w:rPr>
                <w:rFonts w:ascii="Times New Roman" w:eastAsia="Calibri" w:hAnsi="Times New Roman" w:cs="Times New Roman"/>
                <w:lang w:val="en-GB"/>
              </w:rPr>
              <w:t>իրականացնել ստուգումներ տեղում,</w:t>
            </w:r>
          </w:p>
          <w:p w14:paraId="279AB6F7" w14:textId="6638F4C4" w:rsidR="00495ADE" w:rsidRPr="000941D1" w:rsidRDefault="00495ADE" w:rsidP="000941D1">
            <w:pPr>
              <w:numPr>
                <w:ilvl w:val="0"/>
                <w:numId w:val="9"/>
              </w:numPr>
              <w:tabs>
                <w:tab w:val="left" w:pos="4536"/>
              </w:tabs>
              <w:spacing w:afterLines="60" w:after="144" w:line="259" w:lineRule="auto"/>
              <w:ind w:left="714" w:hanging="357"/>
              <w:contextualSpacing/>
              <w:jc w:val="both"/>
              <w:rPr>
                <w:rFonts w:ascii="Times New Roman" w:eastAsia="Calibri" w:hAnsi="Times New Roman" w:cs="Times New Roman"/>
                <w:lang w:val="en-GB"/>
              </w:rPr>
            </w:pPr>
            <w:r w:rsidRPr="000941D1">
              <w:rPr>
                <w:rFonts w:ascii="Times New Roman" w:eastAsia="Calibri" w:hAnsi="Times New Roman" w:cs="Times New Roman"/>
                <w:lang w:val="en-GB"/>
              </w:rPr>
              <w:t xml:space="preserve">իրականացնել ամբողջական աուդիտ հաշվապահապան հաշվառման բոլոր փաստաթղթերի և Գործողության ֆինանսավորմանն առնչվող հարակից այլ փաստաթղթերի հիման վրա: </w:t>
            </w:r>
          </w:p>
          <w:p w14:paraId="4C84EC56" w14:textId="168495C9" w:rsidR="00495ADE" w:rsidRPr="00AA07B7" w:rsidRDefault="00495ADE">
            <w:pPr>
              <w:autoSpaceDE w:val="0"/>
              <w:autoSpaceDN w:val="0"/>
              <w:adjustRightInd w:val="0"/>
              <w:spacing w:after="120" w:line="259" w:lineRule="auto"/>
              <w:jc w:val="both"/>
              <w:rPr>
                <w:rFonts w:ascii="Times New Roman" w:hAnsi="Times New Roman" w:cs="Times New Roman"/>
                <w:b/>
              </w:rPr>
            </w:pPr>
            <w:r w:rsidRPr="000941D1">
              <w:rPr>
                <w:rFonts w:ascii="Times New Roman" w:eastAsia="Times New Roman" w:hAnsi="Times New Roman" w:cs="Times New Roman"/>
                <w:bCs/>
                <w:lang w:val="en-GB"/>
              </w:rPr>
              <w:t>Ենթադրամաշնորհառուն</w:t>
            </w:r>
            <w:r w:rsidR="003A3A12" w:rsidRPr="000941D1">
              <w:rPr>
                <w:rFonts w:ascii="Times New Roman" w:eastAsia="Times New Roman" w:hAnsi="Times New Roman" w:cs="Times New Roman"/>
                <w:bCs/>
                <w:lang w:val="en-GB"/>
              </w:rPr>
              <w:t xml:space="preserve"> </w:t>
            </w:r>
            <w:r w:rsidRPr="000941D1">
              <w:rPr>
                <w:rFonts w:ascii="Times New Roman" w:eastAsia="Calibri" w:hAnsi="Times New Roman" w:cs="Times New Roman"/>
                <w:lang w:val="en-GB"/>
              </w:rPr>
              <w:t xml:space="preserve">պարտավորվում </w:t>
            </w:r>
            <w:r w:rsidR="003A3A12" w:rsidRPr="000941D1">
              <w:rPr>
                <w:rFonts w:ascii="Times New Roman" w:eastAsia="Calibri" w:hAnsi="Times New Roman" w:cs="Times New Roman"/>
                <w:lang w:val="en-GB"/>
              </w:rPr>
              <w:t>է</w:t>
            </w:r>
            <w:r w:rsidRPr="000941D1">
              <w:rPr>
                <w:rFonts w:ascii="Times New Roman" w:eastAsia="Calibri" w:hAnsi="Times New Roman" w:cs="Times New Roman"/>
                <w:lang w:val="en-GB"/>
              </w:rPr>
              <w:t>, ըստ պահանջի, հիշատակված սուբյեկտներին տրամադրել Գործողությանն առնչվող փաստաթղթերի պատճենները և ձեռնարկել բոլոր միջոցները՝ նրանց աշխատանքը դյուրին դարձնելու նպատակով:</w:t>
            </w:r>
          </w:p>
        </w:tc>
        <w:tc>
          <w:tcPr>
            <w:tcW w:w="333" w:type="dxa"/>
            <w:gridSpan w:val="2"/>
            <w:tcBorders>
              <w:top w:val="nil"/>
              <w:left w:val="nil"/>
              <w:bottom w:val="nil"/>
              <w:right w:val="nil"/>
            </w:tcBorders>
          </w:tcPr>
          <w:p w14:paraId="09548F7B" w14:textId="77777777" w:rsidR="00495ADE" w:rsidRPr="000941D1" w:rsidRDefault="00495ADE" w:rsidP="0029313B">
            <w:pPr>
              <w:pStyle w:val="Text1"/>
              <w:tabs>
                <w:tab w:val="left" w:pos="4536"/>
              </w:tabs>
              <w:spacing w:after="120" w:line="259" w:lineRule="auto"/>
              <w:ind w:left="0"/>
              <w:contextualSpacing/>
              <w:jc w:val="both"/>
              <w:rPr>
                <w:rFonts w:eastAsiaTheme="minorHAnsi"/>
                <w:sz w:val="22"/>
                <w:szCs w:val="22"/>
              </w:rPr>
            </w:pPr>
          </w:p>
        </w:tc>
        <w:tc>
          <w:tcPr>
            <w:tcW w:w="3895" w:type="dxa"/>
            <w:tcBorders>
              <w:top w:val="nil"/>
              <w:left w:val="nil"/>
              <w:bottom w:val="nil"/>
              <w:right w:val="nil"/>
            </w:tcBorders>
          </w:tcPr>
          <w:p w14:paraId="031FFABB" w14:textId="00CD87F0" w:rsidR="00495ADE" w:rsidRPr="000941D1" w:rsidRDefault="00495ADE" w:rsidP="0029313B">
            <w:pPr>
              <w:pStyle w:val="Text1"/>
              <w:tabs>
                <w:tab w:val="left" w:pos="4536"/>
              </w:tabs>
              <w:spacing w:after="120" w:line="259" w:lineRule="auto"/>
              <w:ind w:left="0"/>
              <w:contextualSpacing/>
              <w:jc w:val="both"/>
              <w:rPr>
                <w:rFonts w:eastAsiaTheme="minorHAnsi"/>
                <w:sz w:val="22"/>
                <w:szCs w:val="22"/>
              </w:rPr>
            </w:pPr>
            <w:r w:rsidRPr="000941D1">
              <w:rPr>
                <w:rFonts w:eastAsiaTheme="minorHAnsi"/>
                <w:sz w:val="22"/>
                <w:szCs w:val="22"/>
              </w:rPr>
              <w:t xml:space="preserve">17.1. The </w:t>
            </w:r>
            <w:r w:rsidRPr="000941D1">
              <w:rPr>
                <w:bCs/>
                <w:sz w:val="22"/>
                <w:szCs w:val="22"/>
              </w:rPr>
              <w:t xml:space="preserve">Sub-Grantee </w:t>
            </w:r>
            <w:r w:rsidRPr="000941D1">
              <w:rPr>
                <w:rFonts w:eastAsiaTheme="minorHAnsi"/>
                <w:sz w:val="22"/>
                <w:szCs w:val="22"/>
              </w:rPr>
              <w:t xml:space="preserve">shall allow the Sub-grantor, any external auditor authorised by the Sub-grantor, the European Commission, the European Anti-Fraud Office, the European Court of Auditors to perform verifications. To this purpose the </w:t>
            </w:r>
            <w:r w:rsidRPr="000941D1">
              <w:rPr>
                <w:bCs/>
                <w:sz w:val="22"/>
                <w:szCs w:val="22"/>
              </w:rPr>
              <w:t xml:space="preserve">Sub-Grantee </w:t>
            </w:r>
            <w:r w:rsidRPr="000941D1">
              <w:rPr>
                <w:rFonts w:eastAsiaTheme="minorHAnsi"/>
                <w:sz w:val="22"/>
                <w:szCs w:val="22"/>
              </w:rPr>
              <w:t>shall allow the above</w:t>
            </w:r>
            <w:r w:rsidR="00F8352D" w:rsidRPr="000941D1">
              <w:rPr>
                <w:rFonts w:eastAsiaTheme="minorHAnsi"/>
                <w:sz w:val="22"/>
                <w:szCs w:val="22"/>
              </w:rPr>
              <w:t>-</w:t>
            </w:r>
            <w:r w:rsidRPr="000941D1">
              <w:rPr>
                <w:rFonts w:eastAsiaTheme="minorHAnsi"/>
                <w:sz w:val="22"/>
                <w:szCs w:val="22"/>
              </w:rPr>
              <w:t>mentioned entities to:</w:t>
            </w:r>
          </w:p>
          <w:p w14:paraId="7CE2966C" w14:textId="77777777" w:rsidR="00495ADE" w:rsidRPr="000941D1" w:rsidRDefault="00495ADE" w:rsidP="000941D1">
            <w:pPr>
              <w:pStyle w:val="Text1"/>
              <w:numPr>
                <w:ilvl w:val="0"/>
                <w:numId w:val="9"/>
              </w:numPr>
              <w:tabs>
                <w:tab w:val="left" w:pos="4536"/>
              </w:tabs>
              <w:spacing w:afterLines="60" w:after="144" w:line="259" w:lineRule="auto"/>
              <w:ind w:left="714" w:hanging="357"/>
              <w:contextualSpacing/>
              <w:jc w:val="both"/>
              <w:rPr>
                <w:rFonts w:eastAsiaTheme="minorHAnsi"/>
                <w:sz w:val="22"/>
                <w:szCs w:val="22"/>
              </w:rPr>
            </w:pPr>
            <w:r w:rsidRPr="000941D1">
              <w:rPr>
                <w:rFonts w:eastAsiaTheme="minorHAnsi"/>
                <w:sz w:val="22"/>
                <w:szCs w:val="22"/>
              </w:rPr>
              <w:t>access the locations where the Action is implemented;</w:t>
            </w:r>
          </w:p>
          <w:p w14:paraId="1BB199CF" w14:textId="77777777" w:rsidR="00495ADE" w:rsidRPr="000941D1" w:rsidRDefault="00495ADE" w:rsidP="000941D1">
            <w:pPr>
              <w:pStyle w:val="Text1"/>
              <w:numPr>
                <w:ilvl w:val="0"/>
                <w:numId w:val="9"/>
              </w:numPr>
              <w:tabs>
                <w:tab w:val="left" w:pos="4536"/>
              </w:tabs>
              <w:spacing w:afterLines="60" w:after="144" w:line="259" w:lineRule="auto"/>
              <w:ind w:left="714" w:hanging="357"/>
              <w:contextualSpacing/>
              <w:jc w:val="both"/>
              <w:rPr>
                <w:rFonts w:eastAsiaTheme="minorHAnsi"/>
                <w:sz w:val="22"/>
                <w:szCs w:val="22"/>
              </w:rPr>
            </w:pPr>
            <w:r w:rsidRPr="000941D1">
              <w:rPr>
                <w:rFonts w:eastAsiaTheme="minorHAnsi"/>
                <w:sz w:val="22"/>
                <w:szCs w:val="22"/>
              </w:rPr>
              <w:t>examine all accounting and information systems, documents and databases concerning the Sub-Grant technical and financial management;</w:t>
            </w:r>
          </w:p>
          <w:p w14:paraId="07666C40" w14:textId="77777777" w:rsidR="00495ADE" w:rsidRPr="000941D1" w:rsidRDefault="00495ADE" w:rsidP="000941D1">
            <w:pPr>
              <w:pStyle w:val="Text1"/>
              <w:numPr>
                <w:ilvl w:val="0"/>
                <w:numId w:val="9"/>
              </w:numPr>
              <w:tabs>
                <w:tab w:val="left" w:pos="4536"/>
              </w:tabs>
              <w:spacing w:afterLines="60" w:after="144" w:line="259" w:lineRule="auto"/>
              <w:ind w:left="714" w:hanging="357"/>
              <w:contextualSpacing/>
              <w:jc w:val="both"/>
              <w:rPr>
                <w:rFonts w:eastAsiaTheme="minorHAnsi"/>
                <w:sz w:val="22"/>
                <w:szCs w:val="22"/>
              </w:rPr>
            </w:pPr>
            <w:r w:rsidRPr="000941D1">
              <w:rPr>
                <w:rFonts w:eastAsiaTheme="minorHAnsi"/>
                <w:sz w:val="22"/>
                <w:szCs w:val="22"/>
              </w:rPr>
              <w:t>take copies of the documents;</w:t>
            </w:r>
          </w:p>
          <w:p w14:paraId="7F5382C0" w14:textId="77777777" w:rsidR="00495ADE" w:rsidRPr="000941D1" w:rsidRDefault="00495ADE" w:rsidP="000941D1">
            <w:pPr>
              <w:pStyle w:val="Text1"/>
              <w:numPr>
                <w:ilvl w:val="0"/>
                <w:numId w:val="9"/>
              </w:numPr>
              <w:tabs>
                <w:tab w:val="left" w:pos="4536"/>
              </w:tabs>
              <w:spacing w:afterLines="60" w:after="144" w:line="259" w:lineRule="auto"/>
              <w:ind w:left="714" w:hanging="357"/>
              <w:contextualSpacing/>
              <w:jc w:val="both"/>
              <w:rPr>
                <w:rFonts w:eastAsiaTheme="minorHAnsi"/>
                <w:sz w:val="22"/>
                <w:szCs w:val="22"/>
              </w:rPr>
            </w:pPr>
            <w:r w:rsidRPr="000941D1">
              <w:rPr>
                <w:rFonts w:eastAsiaTheme="minorHAnsi"/>
                <w:sz w:val="22"/>
                <w:szCs w:val="22"/>
              </w:rPr>
              <w:t>carry out on-the-spot checks;</w:t>
            </w:r>
          </w:p>
          <w:p w14:paraId="61F3F5E2" w14:textId="77777777" w:rsidR="00495ADE" w:rsidRPr="000941D1" w:rsidRDefault="00495ADE" w:rsidP="000941D1">
            <w:pPr>
              <w:pStyle w:val="Text1"/>
              <w:numPr>
                <w:ilvl w:val="0"/>
                <w:numId w:val="9"/>
              </w:numPr>
              <w:tabs>
                <w:tab w:val="left" w:pos="4536"/>
              </w:tabs>
              <w:spacing w:afterLines="60" w:after="144" w:line="259" w:lineRule="auto"/>
              <w:ind w:left="714" w:hanging="357"/>
              <w:contextualSpacing/>
              <w:jc w:val="both"/>
              <w:rPr>
                <w:rFonts w:eastAsiaTheme="minorHAnsi"/>
              </w:rPr>
            </w:pPr>
            <w:r w:rsidRPr="000941D1">
              <w:rPr>
                <w:rFonts w:eastAsiaTheme="minorHAnsi"/>
                <w:sz w:val="22"/>
                <w:szCs w:val="22"/>
              </w:rPr>
              <w:t>conduct a full audit on the basis of all accounting documents and any other relevant document to the financing of the action.</w:t>
            </w:r>
          </w:p>
          <w:p w14:paraId="226B7231" w14:textId="6487037C" w:rsidR="00495ADE" w:rsidRPr="00AA07B7" w:rsidRDefault="00495ADE" w:rsidP="00B47A01">
            <w:pPr>
              <w:tabs>
                <w:tab w:val="left" w:pos="6237"/>
              </w:tabs>
              <w:spacing w:before="60" w:after="60" w:line="240" w:lineRule="auto"/>
              <w:jc w:val="both"/>
              <w:rPr>
                <w:rFonts w:ascii="Times New Roman" w:hAnsi="Times New Roman" w:cs="Times New Roman"/>
              </w:rPr>
            </w:pPr>
            <w:r w:rsidRPr="000941D1">
              <w:rPr>
                <w:rFonts w:ascii="Times New Roman" w:eastAsiaTheme="minorHAnsi" w:hAnsi="Times New Roman" w:cs="Times New Roman"/>
              </w:rPr>
              <w:t xml:space="preserve">The </w:t>
            </w:r>
            <w:r w:rsidRPr="000941D1">
              <w:rPr>
                <w:rFonts w:ascii="Times New Roman" w:hAnsi="Times New Roman" w:cs="Times New Roman"/>
                <w:bCs/>
              </w:rPr>
              <w:t xml:space="preserve">Sub-Grantee </w:t>
            </w:r>
            <w:r w:rsidRPr="000941D1">
              <w:rPr>
                <w:rFonts w:ascii="Times New Roman" w:eastAsiaTheme="minorHAnsi" w:hAnsi="Times New Roman" w:cs="Times New Roman"/>
              </w:rPr>
              <w:t>undertakes to provide the above entities with copies of documents relevant to the Action upon request and to perform all necessary steps to support and facilitate their work.</w:t>
            </w:r>
          </w:p>
        </w:tc>
      </w:tr>
      <w:tr w:rsidR="00495ADE" w:rsidRPr="00717728" w14:paraId="444C6E0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1C12E5C" w14:textId="723FE144" w:rsidR="00495ADE" w:rsidRPr="00717728" w:rsidDel="00251421" w:rsidRDefault="00495ADE" w:rsidP="00DA1AD9">
            <w:pPr>
              <w:tabs>
                <w:tab w:val="left" w:pos="4536"/>
              </w:tabs>
              <w:spacing w:after="120" w:line="259" w:lineRule="auto"/>
              <w:contextualSpacing/>
              <w:jc w:val="both"/>
              <w:rPr>
                <w:rFonts w:ascii="Times New Roman" w:eastAsia="Times New Roman" w:hAnsi="Times New Roman" w:cs="Times New Roman"/>
                <w:szCs w:val="20"/>
                <w:lang w:val="en-GB"/>
              </w:rPr>
            </w:pPr>
            <w:r w:rsidRPr="00717728">
              <w:rPr>
                <w:rFonts w:ascii="Times New Roman" w:eastAsiaTheme="minorHAnsi" w:hAnsi="Times New Roman" w:cs="Times New Roman"/>
                <w:color w:val="000000"/>
              </w:rPr>
              <w:t xml:space="preserve">17.2. Սույն հոդվածով նախատեսված աուդիտները և ստուգումները պետք է իրականացվեն երրորդ անձանց նկատմամբ գաղտնիության սկզբունքով՝ </w:t>
            </w:r>
            <w:r>
              <w:rPr>
                <w:rFonts w:ascii="Times New Roman" w:eastAsiaTheme="minorHAnsi" w:hAnsi="Times New Roman" w:cs="Times New Roman"/>
                <w:color w:val="000000"/>
              </w:rPr>
              <w:t>առանց</w:t>
            </w:r>
            <w:r w:rsidRPr="00717728">
              <w:rPr>
                <w:rFonts w:ascii="Times New Roman" w:eastAsiaTheme="minorHAnsi" w:hAnsi="Times New Roman" w:cs="Times New Roman"/>
                <w:color w:val="000000"/>
              </w:rPr>
              <w:t xml:space="preserve"> հանրային իրավունքով նախատեսված այն պարտավորություններ</w:t>
            </w:r>
            <w:r>
              <w:rPr>
                <w:rFonts w:ascii="Times New Roman" w:eastAsiaTheme="minorHAnsi" w:hAnsi="Times New Roman" w:cs="Times New Roman"/>
                <w:color w:val="000000"/>
              </w:rPr>
              <w:t xml:space="preserve">ի նկատմամբ նախապաշարմունքի որոնց համապատասխան </w:t>
            </w:r>
            <w:r>
              <w:rPr>
                <w:rFonts w:ascii="Times New Roman" w:eastAsiaTheme="minorHAnsi" w:hAnsi="Times New Roman" w:cs="Times New Roman"/>
                <w:color w:val="000000"/>
              </w:rPr>
              <w:lastRenderedPageBreak/>
              <w:t xml:space="preserve">աուդիտորները և այլ լիազորված անձինք կատարում են ստուգումները: </w:t>
            </w:r>
            <w:r w:rsidRPr="00717728">
              <w:rPr>
                <w:rFonts w:ascii="Times New Roman" w:eastAsiaTheme="minorHAnsi" w:hAnsi="Times New Roman" w:cs="Times New Roman"/>
                <w:color w:val="000000"/>
              </w:rPr>
              <w:t xml:space="preserve"> </w:t>
            </w:r>
          </w:p>
        </w:tc>
        <w:tc>
          <w:tcPr>
            <w:tcW w:w="333" w:type="dxa"/>
            <w:gridSpan w:val="2"/>
            <w:tcBorders>
              <w:top w:val="nil"/>
              <w:left w:val="nil"/>
              <w:bottom w:val="nil"/>
              <w:right w:val="nil"/>
            </w:tcBorders>
          </w:tcPr>
          <w:p w14:paraId="06C7532C" w14:textId="77777777" w:rsidR="00495ADE" w:rsidRPr="00717728" w:rsidRDefault="00495ADE" w:rsidP="0029313B">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B1C35E5" w14:textId="0C1117B6" w:rsidR="00495ADE" w:rsidRPr="00717728" w:rsidRDefault="00495ADE" w:rsidP="0029313B">
            <w:p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color w:val="000000"/>
              </w:rPr>
              <w:t xml:space="preserve">17.2. Audits and verifications as provided for by this Article shall be carried out on the basis of confidentiality with respect to third parties, without prejudice to the obligations of public law to which the </w:t>
            </w:r>
            <w:r w:rsidRPr="00717728">
              <w:rPr>
                <w:rFonts w:ascii="Times New Roman" w:eastAsiaTheme="minorHAnsi" w:hAnsi="Times New Roman" w:cs="Times New Roman"/>
                <w:color w:val="000000"/>
              </w:rPr>
              <w:lastRenderedPageBreak/>
              <w:t>auditors or the other authorized persons performing the checks are subject.</w:t>
            </w:r>
          </w:p>
        </w:tc>
      </w:tr>
      <w:tr w:rsidR="00495ADE" w:rsidRPr="00717728" w14:paraId="23B60D3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ECC4958" w14:textId="36441C7D" w:rsidR="00495ADE" w:rsidRPr="000941D1" w:rsidRDefault="00495ADE" w:rsidP="003622B0">
            <w:pPr>
              <w:autoSpaceDE w:val="0"/>
              <w:autoSpaceDN w:val="0"/>
              <w:adjustRightInd w:val="0"/>
              <w:spacing w:after="120" w:line="259" w:lineRule="auto"/>
              <w:contextualSpacing/>
              <w:jc w:val="both"/>
              <w:rPr>
                <w:rFonts w:ascii="Times New Roman" w:eastAsiaTheme="minorHAnsi" w:hAnsi="Times New Roman" w:cs="Times New Roman"/>
              </w:rPr>
            </w:pPr>
            <w:r w:rsidRPr="000941D1">
              <w:rPr>
                <w:rFonts w:ascii="Times New Roman" w:eastAsiaTheme="minorHAnsi" w:hAnsi="Times New Roman" w:cs="Times New Roman"/>
              </w:rPr>
              <w:lastRenderedPageBreak/>
              <w:t xml:space="preserve">17.3 </w:t>
            </w:r>
            <w:r w:rsidRPr="000941D1">
              <w:rPr>
                <w:rFonts w:ascii="Times New Roman" w:hAnsi="Times New Roman" w:cs="Times New Roman"/>
                <w:bCs/>
              </w:rPr>
              <w:t>Ենթադրամաշնորհառուն</w:t>
            </w:r>
            <w:r w:rsidR="003A3A12" w:rsidRPr="000941D1">
              <w:rPr>
                <w:rFonts w:ascii="Times New Roman" w:hAnsi="Times New Roman" w:cs="Times New Roman"/>
                <w:bCs/>
              </w:rPr>
              <w:t xml:space="preserve"> </w:t>
            </w:r>
            <w:r w:rsidRPr="000941D1">
              <w:rPr>
                <w:rFonts w:ascii="Times New Roman" w:eastAsiaTheme="minorHAnsi" w:hAnsi="Times New Roman" w:cs="Times New Roman"/>
              </w:rPr>
              <w:t>պետք է պահպանեն այմանագրին վերաբերող բոլոր գրառումները, հաշվապահական հաշվառման և ուղեկցող փաստաթղթերը իրականացման ժամկետի ավարտից հետո հինգ տար</w:t>
            </w:r>
            <w:r w:rsidR="003F3915" w:rsidRPr="000941D1">
              <w:rPr>
                <w:rFonts w:ascii="Times New Roman" w:eastAsiaTheme="minorHAnsi" w:hAnsi="Times New Roman" w:cs="Times New Roman"/>
              </w:rPr>
              <w:t>ի</w:t>
            </w:r>
            <w:r w:rsidRPr="000941D1">
              <w:rPr>
                <w:rFonts w:ascii="Times New Roman" w:eastAsiaTheme="minorHAnsi" w:hAnsi="Times New Roman" w:cs="Times New Roman"/>
              </w:rPr>
              <w:t xml:space="preserve">, և ցանկացած դեպքում այնքան ժամանակ, քանի դեռ ցանկացած ընթացիկ աուդիտ, ստուգում, բողոքարկում, դատական գործ կամ պահանջի քննությունը չի ավարտվել: </w:t>
            </w:r>
          </w:p>
          <w:p w14:paraId="4326DD16" w14:textId="0AC9B778" w:rsidR="00495ADE" w:rsidRPr="00AA07B7" w:rsidRDefault="00495ADE" w:rsidP="005B1F81">
            <w:pPr>
              <w:autoSpaceDE w:val="0"/>
              <w:autoSpaceDN w:val="0"/>
              <w:adjustRightInd w:val="0"/>
              <w:spacing w:after="120" w:line="259" w:lineRule="auto"/>
              <w:jc w:val="both"/>
              <w:rPr>
                <w:rFonts w:ascii="Times New Roman" w:hAnsi="Times New Roman" w:cs="Times New Roman"/>
              </w:rPr>
            </w:pPr>
            <w:r w:rsidRPr="000941D1">
              <w:rPr>
                <w:rFonts w:ascii="Times New Roman" w:eastAsiaTheme="minorHAnsi" w:hAnsi="Times New Roman" w:cs="Times New Roman"/>
              </w:rPr>
              <w:t xml:space="preserve">Դրանք պետք է լինեն դյուրամատչելի և պատշաճ կերպով դասավորված՝ դրանց քննություն պարզեցնելու նպատակով, և </w:t>
            </w:r>
            <w:r w:rsidRPr="000941D1">
              <w:rPr>
                <w:rFonts w:ascii="Times New Roman" w:hAnsi="Times New Roman" w:cs="Times New Roman"/>
                <w:bCs/>
              </w:rPr>
              <w:t>Ենթադրամաշնորհառուն</w:t>
            </w:r>
            <w:r w:rsidR="003F3915" w:rsidRPr="000941D1">
              <w:rPr>
                <w:rFonts w:ascii="Times New Roman" w:hAnsi="Times New Roman" w:cs="Times New Roman"/>
                <w:bCs/>
              </w:rPr>
              <w:t xml:space="preserve"> </w:t>
            </w:r>
            <w:r w:rsidRPr="000941D1">
              <w:rPr>
                <w:rFonts w:ascii="Times New Roman" w:eastAsiaTheme="minorHAnsi" w:hAnsi="Times New Roman" w:cs="Times New Roman"/>
              </w:rPr>
              <w:t>պետք է Ենթադրամաշնորհատուին հայտնեն դրանց հստակ գտնվելու վայրը:</w:t>
            </w:r>
          </w:p>
        </w:tc>
        <w:tc>
          <w:tcPr>
            <w:tcW w:w="333" w:type="dxa"/>
            <w:gridSpan w:val="2"/>
            <w:tcBorders>
              <w:top w:val="nil"/>
              <w:left w:val="nil"/>
              <w:bottom w:val="nil"/>
              <w:right w:val="nil"/>
            </w:tcBorders>
          </w:tcPr>
          <w:p w14:paraId="37F8544C" w14:textId="77777777" w:rsidR="00495ADE" w:rsidRPr="000941D1" w:rsidRDefault="00495ADE" w:rsidP="0029313B">
            <w:pPr>
              <w:autoSpaceDE w:val="0"/>
              <w:autoSpaceDN w:val="0"/>
              <w:adjustRightInd w:val="0"/>
              <w:spacing w:after="120" w:line="259" w:lineRule="auto"/>
              <w:contextualSpacing/>
              <w:jc w:val="both"/>
              <w:rPr>
                <w:rFonts w:ascii="Times New Roman" w:eastAsiaTheme="minorHAnsi" w:hAnsi="Times New Roman" w:cs="Times New Roman"/>
              </w:rPr>
            </w:pPr>
          </w:p>
        </w:tc>
        <w:tc>
          <w:tcPr>
            <w:tcW w:w="3895" w:type="dxa"/>
            <w:tcBorders>
              <w:top w:val="nil"/>
              <w:left w:val="nil"/>
              <w:bottom w:val="nil"/>
              <w:right w:val="nil"/>
            </w:tcBorders>
          </w:tcPr>
          <w:p w14:paraId="606E14C7" w14:textId="6FEA2EE0" w:rsidR="00495ADE" w:rsidRPr="000941D1" w:rsidRDefault="00495ADE" w:rsidP="0029313B">
            <w:pPr>
              <w:autoSpaceDE w:val="0"/>
              <w:autoSpaceDN w:val="0"/>
              <w:adjustRightInd w:val="0"/>
              <w:spacing w:after="120" w:line="259" w:lineRule="auto"/>
              <w:contextualSpacing/>
              <w:jc w:val="both"/>
              <w:rPr>
                <w:rFonts w:ascii="Times New Roman" w:eastAsiaTheme="minorHAnsi" w:hAnsi="Times New Roman" w:cs="Times New Roman"/>
              </w:rPr>
            </w:pPr>
            <w:r w:rsidRPr="000941D1">
              <w:rPr>
                <w:rFonts w:ascii="Times New Roman" w:eastAsiaTheme="minorHAnsi" w:hAnsi="Times New Roman" w:cs="Times New Roman"/>
              </w:rPr>
              <w:t xml:space="preserve">17.3 The </w:t>
            </w:r>
            <w:r w:rsidRPr="000941D1">
              <w:rPr>
                <w:rFonts w:ascii="Times New Roman" w:hAnsi="Times New Roman" w:cs="Times New Roman"/>
                <w:bCs/>
              </w:rPr>
              <w:t xml:space="preserve">Sub-Grantee </w:t>
            </w:r>
            <w:r w:rsidRPr="000941D1">
              <w:rPr>
                <w:rFonts w:ascii="Times New Roman" w:eastAsiaTheme="minorHAnsi" w:hAnsi="Times New Roman" w:cs="Times New Roman"/>
              </w:rPr>
              <w:t xml:space="preserve">shall keep all records, accounting and supporting documents related to this contract for </w:t>
            </w:r>
            <w:r w:rsidRPr="00AA07B7">
              <w:rPr>
                <w:rFonts w:ascii="Times New Roman" w:eastAsiaTheme="minorHAnsi" w:hAnsi="Times New Roman" w:cs="Times New Roman"/>
              </w:rPr>
              <w:t xml:space="preserve">five years </w:t>
            </w:r>
            <w:r w:rsidRPr="000941D1">
              <w:rPr>
                <w:rFonts w:ascii="Times New Roman" w:eastAsiaTheme="minorHAnsi" w:hAnsi="Times New Roman" w:cs="Times New Roman"/>
              </w:rPr>
              <w:t xml:space="preserve">following the end date of the implementation period, and in any case until any on-going audit, verification, appeal, litigation or pursuit of claim has been disposed of. </w:t>
            </w:r>
          </w:p>
          <w:p w14:paraId="44FC7234" w14:textId="74BC004F" w:rsidR="00495ADE" w:rsidRPr="00AA07B7" w:rsidRDefault="00495ADE" w:rsidP="005B1F81">
            <w:pPr>
              <w:tabs>
                <w:tab w:val="left" w:pos="6237"/>
              </w:tabs>
              <w:spacing w:before="60" w:after="60" w:line="240" w:lineRule="auto"/>
              <w:jc w:val="both"/>
              <w:rPr>
                <w:rFonts w:ascii="Times New Roman" w:hAnsi="Times New Roman" w:cs="Times New Roman"/>
                <w:spacing w:val="-2"/>
              </w:rPr>
            </w:pPr>
            <w:r w:rsidRPr="000941D1">
              <w:rPr>
                <w:rFonts w:ascii="Times New Roman" w:eastAsiaTheme="minorHAnsi" w:hAnsi="Times New Roman" w:cs="Times New Roman"/>
              </w:rPr>
              <w:t xml:space="preserve">They shall be easily accessible and filed so as to facilitate their examination and the </w:t>
            </w:r>
            <w:r w:rsidRPr="000941D1">
              <w:rPr>
                <w:rFonts w:ascii="Times New Roman" w:hAnsi="Times New Roman" w:cs="Times New Roman"/>
                <w:bCs/>
              </w:rPr>
              <w:t xml:space="preserve">Sub-Grantee </w:t>
            </w:r>
            <w:r w:rsidRPr="000941D1">
              <w:rPr>
                <w:rFonts w:ascii="Times New Roman" w:eastAsiaTheme="minorHAnsi" w:hAnsi="Times New Roman" w:cs="Times New Roman"/>
              </w:rPr>
              <w:t>shall inform the Sub-grantor of their precise location.</w:t>
            </w:r>
          </w:p>
        </w:tc>
      </w:tr>
      <w:tr w:rsidR="00495ADE" w:rsidRPr="00717728" w14:paraId="76D70A8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DF6B445" w14:textId="77777777" w:rsidR="00495ADE" w:rsidRPr="000941D1" w:rsidRDefault="00495ADE" w:rsidP="003622B0">
            <w:pPr>
              <w:pStyle w:val="Text1"/>
              <w:tabs>
                <w:tab w:val="left" w:pos="4536"/>
              </w:tabs>
              <w:spacing w:after="120" w:line="259" w:lineRule="auto"/>
              <w:ind w:left="0"/>
              <w:contextualSpacing/>
              <w:jc w:val="both"/>
              <w:rPr>
                <w:rFonts w:eastAsiaTheme="minorHAnsi"/>
                <w:sz w:val="22"/>
                <w:szCs w:val="22"/>
              </w:rPr>
            </w:pPr>
            <w:r w:rsidRPr="000941D1">
              <w:rPr>
                <w:rFonts w:eastAsiaTheme="minorHAnsi"/>
                <w:sz w:val="22"/>
                <w:szCs w:val="22"/>
              </w:rPr>
              <w:t>17.4. Բոլոր օժանդակ փաստաթղթերը պետք է հասանելի լինեն բնօրինակի տեսքով, ներառյալ էլեկտրոնային եղանակով, կամ որպես պատճեն: Նման ուղեկցող փաստաթղթերը կարող են ներառել հետևյալը՝</w:t>
            </w:r>
          </w:p>
          <w:p w14:paraId="70EF066F" w14:textId="3802F60D" w:rsidR="00495ADE" w:rsidRPr="00AA07B7" w:rsidRDefault="00495ADE" w:rsidP="00FF2419">
            <w:pPr>
              <w:pStyle w:val="Text1"/>
              <w:tabs>
                <w:tab w:val="left" w:pos="4536"/>
              </w:tabs>
              <w:spacing w:after="120" w:line="259" w:lineRule="auto"/>
              <w:contextualSpacing/>
              <w:jc w:val="both"/>
            </w:pPr>
          </w:p>
        </w:tc>
        <w:tc>
          <w:tcPr>
            <w:tcW w:w="333" w:type="dxa"/>
            <w:gridSpan w:val="2"/>
            <w:tcBorders>
              <w:top w:val="nil"/>
              <w:left w:val="nil"/>
              <w:bottom w:val="nil"/>
              <w:right w:val="nil"/>
            </w:tcBorders>
          </w:tcPr>
          <w:p w14:paraId="7D298AC7" w14:textId="77777777" w:rsidR="00495ADE" w:rsidRPr="000941D1" w:rsidRDefault="00495ADE" w:rsidP="00FF2419">
            <w:pPr>
              <w:pStyle w:val="Text1"/>
              <w:tabs>
                <w:tab w:val="left" w:pos="4536"/>
              </w:tabs>
              <w:spacing w:after="120" w:line="259" w:lineRule="auto"/>
              <w:ind w:left="0"/>
              <w:contextualSpacing/>
              <w:jc w:val="both"/>
              <w:rPr>
                <w:rFonts w:eastAsiaTheme="minorHAnsi"/>
                <w:sz w:val="22"/>
                <w:szCs w:val="22"/>
              </w:rPr>
            </w:pPr>
          </w:p>
        </w:tc>
        <w:tc>
          <w:tcPr>
            <w:tcW w:w="3895" w:type="dxa"/>
            <w:tcBorders>
              <w:top w:val="nil"/>
              <w:left w:val="nil"/>
              <w:bottom w:val="nil"/>
              <w:right w:val="nil"/>
            </w:tcBorders>
          </w:tcPr>
          <w:p w14:paraId="1CD6C883" w14:textId="4CC6AEB7" w:rsidR="00495ADE" w:rsidRPr="000941D1" w:rsidRDefault="00495ADE" w:rsidP="00FF2419">
            <w:pPr>
              <w:pStyle w:val="Text1"/>
              <w:tabs>
                <w:tab w:val="left" w:pos="4536"/>
              </w:tabs>
              <w:spacing w:after="120" w:line="259" w:lineRule="auto"/>
              <w:ind w:left="0"/>
              <w:contextualSpacing/>
              <w:jc w:val="both"/>
              <w:rPr>
                <w:rFonts w:eastAsiaTheme="minorHAnsi"/>
                <w:sz w:val="22"/>
                <w:szCs w:val="22"/>
              </w:rPr>
            </w:pPr>
            <w:r w:rsidRPr="000941D1">
              <w:rPr>
                <w:rFonts w:eastAsiaTheme="minorHAnsi"/>
                <w:sz w:val="22"/>
                <w:szCs w:val="22"/>
              </w:rPr>
              <w:t xml:space="preserve">17.4. All the supporting documents shall be available either in the original form, including in electronic form, or as a copy. Such supporting documents </w:t>
            </w:r>
            <w:r w:rsidRPr="00AA07B7">
              <w:rPr>
                <w:rFonts w:eastAsiaTheme="minorHAnsi"/>
                <w:sz w:val="22"/>
                <w:szCs w:val="22"/>
              </w:rPr>
              <w:t xml:space="preserve">may </w:t>
            </w:r>
            <w:r w:rsidRPr="000941D1">
              <w:rPr>
                <w:rFonts w:eastAsiaTheme="minorHAnsi"/>
                <w:sz w:val="22"/>
                <w:szCs w:val="22"/>
              </w:rPr>
              <w:t>include:</w:t>
            </w:r>
          </w:p>
        </w:tc>
      </w:tr>
      <w:tr w:rsidR="00495ADE" w:rsidRPr="00717728" w14:paraId="3FC19E4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5A72D70" w14:textId="37B2E15A" w:rsidR="00495ADE" w:rsidRPr="00AA07B7" w:rsidRDefault="00495ADE" w:rsidP="000941D1">
            <w:pPr>
              <w:pStyle w:val="ListParagraph"/>
              <w:numPr>
                <w:ilvl w:val="0"/>
                <w:numId w:val="18"/>
              </w:numPr>
              <w:autoSpaceDE w:val="0"/>
              <w:autoSpaceDN w:val="0"/>
              <w:adjustRightInd w:val="0"/>
              <w:spacing w:after="120" w:line="259" w:lineRule="auto"/>
              <w:jc w:val="both"/>
              <w:rPr>
                <w:rFonts w:ascii="Times New Roman" w:hAnsi="Times New Roman" w:cs="Times New Roman"/>
                <w:b/>
              </w:rPr>
            </w:pPr>
            <w:r w:rsidRPr="000941D1">
              <w:rPr>
                <w:rFonts w:ascii="Times New Roman" w:eastAsiaTheme="minorHAnsi" w:hAnsi="Times New Roman" w:cs="Times New Roman"/>
              </w:rPr>
              <w:t>Պայմանագրով նախատեսվող կամ Ենթադրամաշնորհատուի պահանջով ներկայացված պարբերական հաշվետվությունները,</w:t>
            </w:r>
          </w:p>
        </w:tc>
        <w:tc>
          <w:tcPr>
            <w:tcW w:w="333" w:type="dxa"/>
            <w:gridSpan w:val="2"/>
            <w:tcBorders>
              <w:top w:val="nil"/>
              <w:left w:val="nil"/>
              <w:bottom w:val="nil"/>
              <w:right w:val="nil"/>
            </w:tcBorders>
          </w:tcPr>
          <w:p w14:paraId="3A73883B" w14:textId="77777777" w:rsidR="00495ADE" w:rsidRPr="000941D1"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29871F1F" w14:textId="3DBDEE80" w:rsidR="00495ADE" w:rsidRPr="00AA07B7" w:rsidRDefault="00495ADE" w:rsidP="000941D1">
            <w:pPr>
              <w:pStyle w:val="ListParagraph"/>
              <w:numPr>
                <w:ilvl w:val="0"/>
                <w:numId w:val="18"/>
              </w:numPr>
              <w:tabs>
                <w:tab w:val="left" w:pos="6237"/>
              </w:tabs>
              <w:spacing w:before="60" w:after="60" w:line="240" w:lineRule="auto"/>
              <w:jc w:val="both"/>
              <w:rPr>
                <w:rFonts w:ascii="Times New Roman" w:hAnsi="Times New Roman" w:cs="Times New Roman"/>
                <w:b/>
                <w:bCs/>
              </w:rPr>
            </w:pPr>
            <w:r w:rsidRPr="000941D1">
              <w:rPr>
                <w:rFonts w:ascii="Times New Roman" w:eastAsiaTheme="minorHAnsi" w:hAnsi="Times New Roman" w:cs="Times New Roman"/>
              </w:rPr>
              <w:t>Periodic reports submitted as per Contract provision / Sub-grantor requests;</w:t>
            </w:r>
          </w:p>
        </w:tc>
      </w:tr>
      <w:tr w:rsidR="00495ADE" w:rsidRPr="00717728" w14:paraId="0915A81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3C2A47D" w14:textId="533FBF02" w:rsidR="00495ADE" w:rsidRPr="00AA07B7"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0941D1">
              <w:rPr>
                <w:rFonts w:ascii="Times New Roman" w:hAnsi="Times New Roman" w:cs="Times New Roman"/>
                <w:bCs/>
              </w:rPr>
              <w:t>Ենթադրամաշնորհառուի</w:t>
            </w:r>
            <w:r w:rsidR="003F3915" w:rsidRPr="000941D1">
              <w:rPr>
                <w:rFonts w:ascii="Times New Roman" w:hAnsi="Times New Roman" w:cs="Times New Roman"/>
                <w:bCs/>
              </w:rPr>
              <w:t xml:space="preserve"> </w:t>
            </w:r>
            <w:r w:rsidRPr="000941D1">
              <w:rPr>
                <w:rFonts w:ascii="Times New Roman" w:eastAsiaTheme="minorHAnsi" w:hAnsi="Times New Roman" w:cs="Times New Roman"/>
              </w:rPr>
              <w:t>հաշվապահական համարգի հաշվապահապական գրառումները (համակարգչային կամ ձեռագիր), ինչպես՝</w:t>
            </w:r>
            <w:r w:rsidRPr="00AA07B7">
              <w:rPr>
                <w:rFonts w:ascii="Times New Roman" w:hAnsi="Times New Roman" w:cs="Times New Roman"/>
              </w:rPr>
              <w:t xml:space="preserve"> </w:t>
            </w:r>
            <w:r w:rsidRPr="000941D1">
              <w:rPr>
                <w:rFonts w:ascii="Times New Roman" w:eastAsiaTheme="minorHAnsi" w:hAnsi="Times New Roman" w:cs="Times New Roman"/>
              </w:rPr>
              <w:t>գործառնությունների մատյանը,  ենթամատյանները, աշխատավարձերի հաշվարկները, հիմնական միջոցների գրանցամատյանները և համապատասխան այլ հաշվապահական տեղեկությունները,</w:t>
            </w:r>
          </w:p>
        </w:tc>
        <w:tc>
          <w:tcPr>
            <w:tcW w:w="333" w:type="dxa"/>
            <w:gridSpan w:val="2"/>
            <w:tcBorders>
              <w:top w:val="nil"/>
              <w:left w:val="nil"/>
              <w:bottom w:val="nil"/>
              <w:right w:val="nil"/>
            </w:tcBorders>
          </w:tcPr>
          <w:p w14:paraId="510093C0" w14:textId="77777777" w:rsidR="00495ADE" w:rsidRPr="000941D1"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3D2D2C9F" w14:textId="50585473" w:rsidR="00495ADE" w:rsidRPr="00AA07B7"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0941D1">
              <w:rPr>
                <w:rFonts w:ascii="Times New Roman" w:eastAsiaTheme="minorHAnsi" w:hAnsi="Times New Roman" w:cs="Times New Roman"/>
              </w:rPr>
              <w:t xml:space="preserve">Accounting records (computerised or manual) from the </w:t>
            </w:r>
            <w:r w:rsidRPr="000941D1">
              <w:rPr>
                <w:rFonts w:ascii="Times New Roman" w:hAnsi="Times New Roman" w:cs="Times New Roman"/>
                <w:bCs/>
              </w:rPr>
              <w:t xml:space="preserve">Sub-Grantee’s </w:t>
            </w:r>
            <w:r w:rsidRPr="000941D1">
              <w:rPr>
                <w:rFonts w:ascii="Times New Roman" w:eastAsiaTheme="minorHAnsi" w:hAnsi="Times New Roman" w:cs="Times New Roman"/>
              </w:rPr>
              <w:t>accounting system such as general ledger, sub-ledgers and payroll accounts, fixed assets registers and other relevant accounting information;</w:t>
            </w:r>
          </w:p>
        </w:tc>
      </w:tr>
      <w:tr w:rsidR="00495ADE" w:rsidRPr="00717728" w14:paraId="7FEE2A5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F1455AE" w14:textId="1A1AFC9E"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գնումների ընթացակարգերի վերաբերյալ ապացույցներ, ինչպիսիք են՝ մրցութային փաստաթղթերը, հայտատուների հայտերը/առաջարկները և գնահատման հաշվետվությունները,</w:t>
            </w:r>
          </w:p>
        </w:tc>
        <w:tc>
          <w:tcPr>
            <w:tcW w:w="333" w:type="dxa"/>
            <w:gridSpan w:val="2"/>
            <w:tcBorders>
              <w:top w:val="nil"/>
              <w:left w:val="nil"/>
              <w:bottom w:val="nil"/>
              <w:right w:val="nil"/>
            </w:tcBorders>
          </w:tcPr>
          <w:p w14:paraId="59C5614D"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1A27B241" w14:textId="1E310624"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procurement procedures such as tendering documents, bids/offers from tenderers and evaluation reports;</w:t>
            </w:r>
          </w:p>
        </w:tc>
      </w:tr>
      <w:tr w:rsidR="00495ADE" w:rsidRPr="00717728" w14:paraId="003797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40708FF" w14:textId="1112982E"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պատրավորությունների վերաբերյալ ապացույցներ, ինչպիսիք են՝ պայմանագրերը և պատվերի ձև</w:t>
            </w:r>
            <w:r>
              <w:rPr>
                <w:rFonts w:ascii="Times New Roman" w:eastAsiaTheme="minorHAnsi" w:hAnsi="Times New Roman" w:cs="Times New Roman"/>
                <w:color w:val="000000"/>
              </w:rPr>
              <w:t>աթղթերը</w:t>
            </w:r>
            <w:r w:rsidRPr="00717728">
              <w:rPr>
                <w:rFonts w:ascii="Times New Roman" w:eastAsiaTheme="minorHAnsi" w:hAnsi="Times New Roman" w:cs="Times New Roman"/>
                <w:color w:val="000000"/>
              </w:rPr>
              <w:t>,</w:t>
            </w:r>
          </w:p>
        </w:tc>
        <w:tc>
          <w:tcPr>
            <w:tcW w:w="333" w:type="dxa"/>
            <w:gridSpan w:val="2"/>
            <w:tcBorders>
              <w:top w:val="nil"/>
              <w:left w:val="nil"/>
              <w:bottom w:val="nil"/>
              <w:right w:val="nil"/>
            </w:tcBorders>
          </w:tcPr>
          <w:p w14:paraId="28F37356"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CF0E2BF" w14:textId="0432B918"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commitments such as contracts and order forms;</w:t>
            </w:r>
          </w:p>
        </w:tc>
      </w:tr>
      <w:tr w:rsidR="00495ADE" w:rsidRPr="00717728" w14:paraId="608092C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A94F70A" w14:textId="2BF8551C"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ծառայությունների մատուցման վերաբերյալ ապացույցներ՝ ըստ մատուցված ծառայությունների բնույթի,</w:t>
            </w:r>
          </w:p>
        </w:tc>
        <w:tc>
          <w:tcPr>
            <w:tcW w:w="333" w:type="dxa"/>
            <w:gridSpan w:val="2"/>
            <w:tcBorders>
              <w:top w:val="nil"/>
              <w:left w:val="nil"/>
              <w:bottom w:val="nil"/>
              <w:right w:val="nil"/>
            </w:tcBorders>
          </w:tcPr>
          <w:p w14:paraId="70D2615B"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4FD604BC" w14:textId="1E9C64C3"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delivery of services as appropriate to the nature of services delivered;</w:t>
            </w:r>
          </w:p>
        </w:tc>
      </w:tr>
      <w:tr w:rsidR="00495ADE" w:rsidRPr="00717728" w14:paraId="278C053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0E95984" w14:textId="0C829C32"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 xml:space="preserve">ապրանքների ստացման վերաբերյալ ապացույցներ, ինչպիսիք են՝ մատակարարի կողմից տրամադրվող </w:t>
            </w:r>
            <w:r>
              <w:rPr>
                <w:rFonts w:ascii="Times New Roman" w:eastAsiaTheme="minorHAnsi" w:hAnsi="Times New Roman" w:cs="Times New Roman"/>
                <w:color w:val="000000"/>
              </w:rPr>
              <w:t>ապրանքային ճանապարհագիրը</w:t>
            </w:r>
            <w:r w:rsidRPr="00717728">
              <w:rPr>
                <w:rFonts w:ascii="Times New Roman" w:eastAsiaTheme="minorHAnsi" w:hAnsi="Times New Roman" w:cs="Times New Roman"/>
                <w:color w:val="000000"/>
              </w:rPr>
              <w:t>,</w:t>
            </w:r>
          </w:p>
        </w:tc>
        <w:tc>
          <w:tcPr>
            <w:tcW w:w="333" w:type="dxa"/>
            <w:gridSpan w:val="2"/>
            <w:tcBorders>
              <w:top w:val="nil"/>
              <w:left w:val="nil"/>
              <w:bottom w:val="nil"/>
              <w:right w:val="nil"/>
            </w:tcBorders>
          </w:tcPr>
          <w:p w14:paraId="2D204355"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431C1630" w14:textId="51EDDC10"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receipt of goods such as delivery slips from supplier;</w:t>
            </w:r>
          </w:p>
        </w:tc>
      </w:tr>
      <w:tr w:rsidR="00495ADE" w:rsidRPr="00717728" w14:paraId="3795153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061DE40" w14:textId="1BB2F0FD"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 xml:space="preserve">գնումների վերաբերյալ ապացույցներ, ինչպիսիք են՝ հաշիվ-ապրանքագրերը և </w:t>
            </w:r>
            <w:r>
              <w:rPr>
                <w:rFonts w:ascii="Times New Roman" w:eastAsiaTheme="minorHAnsi" w:hAnsi="Times New Roman" w:cs="Times New Roman"/>
                <w:color w:val="000000"/>
              </w:rPr>
              <w:t>ընդունման-հանձնման արձնագրությունը</w:t>
            </w:r>
          </w:p>
        </w:tc>
        <w:tc>
          <w:tcPr>
            <w:tcW w:w="333" w:type="dxa"/>
            <w:gridSpan w:val="2"/>
            <w:tcBorders>
              <w:top w:val="nil"/>
              <w:left w:val="nil"/>
              <w:bottom w:val="nil"/>
              <w:right w:val="nil"/>
            </w:tcBorders>
          </w:tcPr>
          <w:p w14:paraId="77D4D371"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05981CCA" w14:textId="49C3CE79"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purchase such as invoices and receipts;</w:t>
            </w:r>
          </w:p>
        </w:tc>
      </w:tr>
      <w:tr w:rsidR="00495ADE" w:rsidRPr="00717728" w14:paraId="2A65406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87DA853" w14:textId="2DEFD477"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 xml:space="preserve">վճարումների վերաբերյալ ապացույցներ, ինչպիսիք են՝ բանկային քաղվածքները, դեբետային </w:t>
            </w:r>
            <w:r>
              <w:rPr>
                <w:rFonts w:ascii="Times New Roman" w:eastAsiaTheme="minorHAnsi" w:hAnsi="Times New Roman" w:cs="Times New Roman"/>
                <w:color w:val="000000"/>
              </w:rPr>
              <w:t>պարտավորագրեր</w:t>
            </w:r>
            <w:r w:rsidRPr="00717728">
              <w:rPr>
                <w:rFonts w:ascii="Times New Roman" w:eastAsiaTheme="minorHAnsi" w:hAnsi="Times New Roman" w:cs="Times New Roman"/>
                <w:color w:val="000000"/>
              </w:rPr>
              <w:t xml:space="preserve">,  </w:t>
            </w:r>
          </w:p>
        </w:tc>
        <w:tc>
          <w:tcPr>
            <w:tcW w:w="333" w:type="dxa"/>
            <w:gridSpan w:val="2"/>
            <w:tcBorders>
              <w:top w:val="nil"/>
              <w:left w:val="nil"/>
              <w:bottom w:val="nil"/>
              <w:right w:val="nil"/>
            </w:tcBorders>
          </w:tcPr>
          <w:p w14:paraId="0811FBA5"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47AF47E0" w14:textId="3AC08DF0"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 xml:space="preserve">Proof of payment such as bank statements, debit notices, </w:t>
            </w:r>
          </w:p>
        </w:tc>
      </w:tr>
      <w:tr w:rsidR="00495ADE" w:rsidRPr="00717728" w14:paraId="5E86F58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41CF0DB" w14:textId="745FA28F" w:rsidR="00495ADE" w:rsidRPr="00717728" w:rsidRDefault="00495ADE" w:rsidP="000941D1">
            <w:pPr>
              <w:pStyle w:val="ListParagraph"/>
              <w:numPr>
                <w:ilvl w:val="0"/>
                <w:numId w:val="18"/>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hAnsi="Times New Roman" w:cs="Times New Roman"/>
              </w:rPr>
              <w:t xml:space="preserve">աշխատակազմի և աշխատավարձի վերաբերյալ </w:t>
            </w:r>
            <w:r w:rsidRPr="000941D1">
              <w:rPr>
                <w:rFonts w:ascii="Times New Roman" w:hAnsi="Times New Roman" w:cs="Times New Roman"/>
              </w:rPr>
              <w:t>գրառումներ</w:t>
            </w:r>
            <w:r w:rsidRPr="00717728">
              <w:rPr>
                <w:rFonts w:ascii="Times New Roman" w:hAnsi="Times New Roman" w:cs="Times New Roman"/>
              </w:rPr>
              <w:t xml:space="preserve">, </w:t>
            </w:r>
            <w:r w:rsidRPr="00717728">
              <w:rPr>
                <w:rFonts w:ascii="Times New Roman" w:eastAsiaTheme="minorHAnsi" w:hAnsi="Times New Roman" w:cs="Times New Roman"/>
                <w:color w:val="000000"/>
              </w:rPr>
              <w:t>ինչպիսիք են</w:t>
            </w:r>
            <w:r w:rsidRPr="00717728">
              <w:rPr>
                <w:rFonts w:ascii="Times New Roman" w:hAnsi="Times New Roman" w:cs="Times New Roman"/>
              </w:rPr>
              <w:t xml:space="preserve">՝ պայմանագրերը, </w:t>
            </w:r>
            <w:r>
              <w:rPr>
                <w:rFonts w:ascii="Times New Roman" w:hAnsi="Times New Roman" w:cs="Times New Roman"/>
              </w:rPr>
              <w:t>աշխատավարձի տեղեկագրերը</w:t>
            </w:r>
            <w:r w:rsidRPr="00717728">
              <w:rPr>
                <w:rFonts w:ascii="Times New Roman" w:hAnsi="Times New Roman" w:cs="Times New Roman"/>
              </w:rPr>
              <w:t>, աշխատաժամ</w:t>
            </w:r>
            <w:r>
              <w:rPr>
                <w:rFonts w:ascii="Times New Roman" w:hAnsi="Times New Roman" w:cs="Times New Roman"/>
              </w:rPr>
              <w:t xml:space="preserve">անակի </w:t>
            </w:r>
            <w:r>
              <w:rPr>
                <w:rFonts w:ascii="Times New Roman" w:hAnsi="Times New Roman" w:cs="Times New Roman"/>
              </w:rPr>
              <w:lastRenderedPageBreak/>
              <w:t>տեղեկագրերը</w:t>
            </w:r>
            <w:r w:rsidRPr="00717728">
              <w:rPr>
                <w:rFonts w:ascii="Times New Roman" w:hAnsi="Times New Roman" w:cs="Times New Roman"/>
              </w:rPr>
              <w:t>, վճարված վարձատրության մանրամասները՝ համախառն աշխատավարձի, սոցիալական ապահովության վճարների, ապահոգվագրավճարների և զուտ աշխատավարձի բացվածքի հետ միասին:</w:t>
            </w:r>
          </w:p>
        </w:tc>
        <w:tc>
          <w:tcPr>
            <w:tcW w:w="333" w:type="dxa"/>
            <w:gridSpan w:val="2"/>
            <w:tcBorders>
              <w:top w:val="nil"/>
              <w:left w:val="nil"/>
              <w:bottom w:val="nil"/>
              <w:right w:val="nil"/>
            </w:tcBorders>
          </w:tcPr>
          <w:p w14:paraId="66CF2C5C" w14:textId="77777777"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1550F9AC" w14:textId="34EF990C" w:rsidR="00495ADE" w:rsidRPr="00717728" w:rsidRDefault="00495ADE" w:rsidP="000941D1">
            <w:pPr>
              <w:pStyle w:val="ListParagraph"/>
              <w:numPr>
                <w:ilvl w:val="0"/>
                <w:numId w:val="18"/>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Staff</w:t>
            </w:r>
            <w:r w:rsidRPr="00717728">
              <w:rPr>
                <w:rFonts w:ascii="Times New Roman" w:hAnsi="Times New Roman" w:cs="Times New Roman"/>
              </w:rPr>
              <w:t xml:space="preserve"> and payroll records such as contracts, salary statements, time sheets, details of remuneration </w:t>
            </w:r>
            <w:r w:rsidRPr="00717728">
              <w:rPr>
                <w:rFonts w:ascii="Times New Roman" w:hAnsi="Times New Roman" w:cs="Times New Roman"/>
              </w:rPr>
              <w:lastRenderedPageBreak/>
              <w:t>paid, broken down into gross salary, social security charges, insurance and net salary.</w:t>
            </w:r>
          </w:p>
        </w:tc>
      </w:tr>
      <w:tr w:rsidR="00495ADE" w:rsidRPr="00717728" w14:paraId="4CAF07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5E72FC3E" w14:textId="25B4B2E9" w:rsidR="00495ADE" w:rsidRPr="00717728" w:rsidRDefault="00495ADE" w:rsidP="00737571">
            <w:p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rPr>
              <w:lastRenderedPageBreak/>
              <w:t xml:space="preserve">17.5 17.1-ինից 17.4-րդ հոդվածներում նշված պարտավորությունների չկատարումը հանդիսանում է </w:t>
            </w:r>
            <w:r>
              <w:rPr>
                <w:rFonts w:ascii="Times New Roman" w:eastAsiaTheme="minorHAnsi" w:hAnsi="Times New Roman" w:cs="Times New Roman"/>
              </w:rPr>
              <w:t xml:space="preserve">տվյալ </w:t>
            </w:r>
            <w:r w:rsidRPr="00717728">
              <w:rPr>
                <w:rFonts w:ascii="Times New Roman" w:eastAsiaTheme="minorHAnsi" w:hAnsi="Times New Roman" w:cs="Times New Roman"/>
              </w:rPr>
              <w:t xml:space="preserve">Պայմանագրով սահմանված էական պարտավորությունների խախտում: Այս դեպքում </w:t>
            </w:r>
            <w:r>
              <w:rPr>
                <w:rFonts w:ascii="Times New Roman" w:eastAsiaTheme="minorHAnsi" w:hAnsi="Times New Roman" w:cs="Times New Roman"/>
              </w:rPr>
              <w:t>Ենթադրամաշնորհատ</w:t>
            </w:r>
            <w:r w:rsidRPr="00717728">
              <w:rPr>
                <w:rFonts w:ascii="Times New Roman" w:eastAsiaTheme="minorHAnsi" w:hAnsi="Times New Roman" w:cs="Times New Roman"/>
              </w:rPr>
              <w:t xml:space="preserve">ուն կարող է </w:t>
            </w:r>
            <w:r>
              <w:rPr>
                <w:rFonts w:ascii="Times New Roman" w:eastAsiaTheme="minorHAnsi" w:hAnsi="Times New Roman" w:cs="Times New Roman"/>
              </w:rPr>
              <w:t xml:space="preserve">մասնավորապես </w:t>
            </w:r>
            <w:r w:rsidRPr="00717728">
              <w:rPr>
                <w:rFonts w:ascii="Times New Roman" w:eastAsiaTheme="minorHAnsi" w:hAnsi="Times New Roman" w:cs="Times New Roman"/>
              </w:rPr>
              <w:t xml:space="preserve">կասեցնել կամ լուծել Պայմանագիրը և/կամ նվազեցնել ենթադրամաշնորհի գումարի չափը:  </w:t>
            </w:r>
          </w:p>
        </w:tc>
        <w:tc>
          <w:tcPr>
            <w:tcW w:w="333" w:type="dxa"/>
            <w:gridSpan w:val="2"/>
            <w:tcBorders>
              <w:top w:val="nil"/>
              <w:left w:val="nil"/>
              <w:bottom w:val="nil"/>
              <w:right w:val="nil"/>
            </w:tcBorders>
          </w:tcPr>
          <w:p w14:paraId="6CD5C890" w14:textId="77777777" w:rsidR="00495ADE" w:rsidRPr="00717728" w:rsidRDefault="00495ADE" w:rsidP="0029313B">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7C43B621" w14:textId="34E5BECF" w:rsidR="00495ADE" w:rsidRPr="00717728" w:rsidRDefault="00495ADE" w:rsidP="0029313B">
            <w:p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rPr>
              <w:t xml:space="preserve">17.5 Failure to comply with the obligations set forth in Article 17.1 to 17.4 constitutes a case of breach of a substantial obligation under this Contract. In this case,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may in particular suspend or terminate the contract and/or reduce the sub-grant.</w:t>
            </w:r>
          </w:p>
        </w:tc>
      </w:tr>
      <w:tr w:rsidR="00495ADE" w:rsidRPr="00717728" w14:paraId="268D10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C9515FC" w14:textId="1F445180" w:rsidR="00495ADE" w:rsidRPr="00717728" w:rsidRDefault="00495ADE" w:rsidP="002170A6">
            <w:pPr>
              <w:spacing w:after="120" w:line="259" w:lineRule="auto"/>
              <w:contextualSpacing/>
              <w:rPr>
                <w:rFonts w:ascii="Times New Roman" w:eastAsia="Times New Roman" w:hAnsi="Times New Roman" w:cs="Times New Roman"/>
                <w:b/>
                <w:lang w:val="en-GB"/>
              </w:rPr>
            </w:pPr>
            <w:bookmarkStart w:id="36" w:name="_Toc70236985"/>
            <w:r w:rsidRPr="00717728">
              <w:rPr>
                <w:rFonts w:ascii="Times New Roman" w:hAnsi="Times New Roman" w:cs="Times New Roman"/>
                <w:b/>
              </w:rPr>
              <w:t xml:space="preserve">ՀՈԴՎԱԾ 18 – </w:t>
            </w:r>
            <w:bookmarkEnd w:id="36"/>
            <w:r>
              <w:rPr>
                <w:rFonts w:ascii="Times New Roman" w:hAnsi="Times New Roman" w:cs="Times New Roman"/>
                <w:b/>
              </w:rPr>
              <w:t>Հետ վերադարձ</w:t>
            </w:r>
          </w:p>
        </w:tc>
        <w:tc>
          <w:tcPr>
            <w:tcW w:w="333" w:type="dxa"/>
            <w:gridSpan w:val="2"/>
            <w:tcBorders>
              <w:top w:val="nil"/>
              <w:left w:val="nil"/>
              <w:bottom w:val="nil"/>
              <w:right w:val="nil"/>
            </w:tcBorders>
          </w:tcPr>
          <w:p w14:paraId="17CE956D" w14:textId="77777777" w:rsidR="00495ADE" w:rsidRPr="00717728" w:rsidRDefault="00495ADE" w:rsidP="00FF2419">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E7917A6" w14:textId="607C3372" w:rsidR="00495ADE" w:rsidRPr="00717728" w:rsidRDefault="00495ADE" w:rsidP="00FF2419">
            <w:pPr>
              <w:tabs>
                <w:tab w:val="left" w:pos="6237"/>
              </w:tabs>
              <w:spacing w:before="60" w:after="60" w:line="240" w:lineRule="auto"/>
              <w:jc w:val="both"/>
              <w:rPr>
                <w:rFonts w:ascii="Times New Roman" w:hAnsi="Times New Roman" w:cs="Times New Roman"/>
                <w:b/>
                <w:spacing w:val="-2"/>
              </w:rPr>
            </w:pPr>
            <w:bookmarkStart w:id="37" w:name="_Toc67590185"/>
            <w:r w:rsidRPr="00717728">
              <w:rPr>
                <w:rFonts w:ascii="Times New Roman" w:hAnsi="Times New Roman" w:cs="Times New Roman"/>
                <w:b/>
              </w:rPr>
              <w:t>ARTICLE 18 – Recovery</w:t>
            </w:r>
            <w:bookmarkEnd w:id="37"/>
          </w:p>
        </w:tc>
      </w:tr>
      <w:tr w:rsidR="00495ADE" w:rsidRPr="00717728" w14:paraId="5EBD733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4E1800F" w14:textId="789A4864" w:rsidR="00495ADE" w:rsidRPr="00717728" w:rsidRDefault="00495ADE" w:rsidP="002170A6">
            <w:pPr>
              <w:spacing w:after="120" w:line="259" w:lineRule="auto"/>
              <w:contextualSpacing/>
              <w:rPr>
                <w:rFonts w:ascii="Times New Roman" w:eastAsia="Times New Roman" w:hAnsi="Times New Roman" w:cs="Times New Roman"/>
                <w:szCs w:val="20"/>
                <w:lang w:val="en-GB"/>
              </w:rPr>
            </w:pPr>
            <w:r w:rsidRPr="00717728">
              <w:rPr>
                <w:rFonts w:ascii="Times New Roman" w:eastAsiaTheme="minorHAnsi" w:hAnsi="Times New Roman" w:cs="Times New Roman"/>
                <w:color w:val="000000"/>
              </w:rPr>
              <w:t>18.1. Եթե Ենթադրամաշնորհառուին վճարվել է որևէ սխալ գումար, կամ եթե Պայմանագրի պայմաններով հիմնավորվում է</w:t>
            </w:r>
            <w:r>
              <w:rPr>
                <w:rFonts w:ascii="Times New Roman" w:eastAsiaTheme="minorHAnsi" w:hAnsi="Times New Roman" w:cs="Times New Roman"/>
                <w:color w:val="000000"/>
              </w:rPr>
              <w:t xml:space="preserve"> հետ վերադարձը</w:t>
            </w:r>
            <w:r w:rsidRPr="00717728">
              <w:rPr>
                <w:rFonts w:ascii="Times New Roman" w:eastAsiaTheme="minorHAnsi" w:hAnsi="Times New Roman" w:cs="Times New Roman"/>
                <w:color w:val="000000"/>
              </w:rPr>
              <w:t xml:space="preserve">, ապա Ենթադրամաշնորհառուն պարտավորվում է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ուին վերադարձնել այդ գումարը:</w:t>
            </w:r>
          </w:p>
        </w:tc>
        <w:tc>
          <w:tcPr>
            <w:tcW w:w="333" w:type="dxa"/>
            <w:gridSpan w:val="2"/>
            <w:tcBorders>
              <w:top w:val="nil"/>
              <w:left w:val="nil"/>
              <w:bottom w:val="nil"/>
              <w:right w:val="nil"/>
            </w:tcBorders>
          </w:tcPr>
          <w:p w14:paraId="2628756D" w14:textId="77777777" w:rsidR="00495ADE" w:rsidRPr="00717728" w:rsidRDefault="00495ADE" w:rsidP="00FF2419">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9FA9F48" w14:textId="6B47377C" w:rsidR="00495ADE" w:rsidRPr="00717728" w:rsidRDefault="00495ADE" w:rsidP="00FF2419">
            <w:pPr>
              <w:tabs>
                <w:tab w:val="left" w:pos="6237"/>
              </w:tabs>
              <w:spacing w:before="60" w:after="60" w:line="240" w:lineRule="auto"/>
              <w:jc w:val="both"/>
              <w:rPr>
                <w:rFonts w:ascii="Times New Roman" w:hAnsi="Times New Roman" w:cs="Times New Roman"/>
                <w:b/>
                <w:bCs/>
                <w:spacing w:val="-2"/>
              </w:rPr>
            </w:pPr>
            <w:r w:rsidRPr="00717728">
              <w:rPr>
                <w:rFonts w:ascii="Times New Roman" w:eastAsiaTheme="minorHAnsi" w:hAnsi="Times New Roman" w:cs="Times New Roman"/>
                <w:color w:val="000000"/>
              </w:rPr>
              <w:t xml:space="preserve">18.1. If any amount is unduly paid to the Sub-Grantee, or if recovery is justified under the terms of this Contract, the Sub-Grantee undertakes to repay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these amounts.</w:t>
            </w:r>
          </w:p>
        </w:tc>
      </w:tr>
      <w:tr w:rsidR="00495ADE" w:rsidRPr="00717728" w14:paraId="2258C5C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17139EC" w14:textId="2536EDD1" w:rsidR="00495ADE" w:rsidRPr="00717728" w:rsidRDefault="00495ADE" w:rsidP="005139A2">
            <w:pPr>
              <w:autoSpaceDE w:val="0"/>
              <w:autoSpaceDN w:val="0"/>
              <w:adjustRightInd w:val="0"/>
              <w:spacing w:after="120" w:line="259" w:lineRule="auto"/>
              <w:jc w:val="both"/>
              <w:rPr>
                <w:rFonts w:ascii="Times New Roman" w:hAnsi="Times New Roman" w:cs="Times New Roman"/>
              </w:rPr>
            </w:pPr>
            <w:r w:rsidRPr="00717728">
              <w:rPr>
                <w:rFonts w:ascii="Times New Roman" w:eastAsiaTheme="minorHAnsi" w:hAnsi="Times New Roman" w:cs="Times New Roman"/>
                <w:color w:val="000000"/>
              </w:rPr>
              <w:t xml:space="preserve">18.2. Մասնավորապես, եթե Գործողության վերջում 12-րդ հոդվածի համաձայն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 xml:space="preserve">ուի կողմից հաստատված թույլատրելի ծախսերը պակաս են 3.1-ին հոդվածով նախատեսված գնահատված թույլատրելի ծախսերից, և եթե ենթադրամաշնորհի գումարը, որը ստացվել է՝ 3.3-րդ հոդվածում նշված տոկոսը կիրառելով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 xml:space="preserve">ուի կողմից   հաստատված թույլատրելի ծախսերի նկատմամբ, պակաս է, քան </w:t>
            </w:r>
            <w:r>
              <w:rPr>
                <w:rFonts w:ascii="Times New Roman" w:eastAsiaTheme="minorHAnsi" w:hAnsi="Times New Roman" w:cs="Times New Roman"/>
                <w:color w:val="000000"/>
              </w:rPr>
              <w:t>սկզբնական նախաֆինանսավորման վճարը</w:t>
            </w:r>
            <w:r w:rsidRPr="00717728">
              <w:rPr>
                <w:rFonts w:ascii="Times New Roman" w:eastAsiaTheme="minorHAnsi" w:hAnsi="Times New Roman" w:cs="Times New Roman"/>
                <w:color w:val="000000"/>
              </w:rPr>
              <w:t xml:space="preserve">, ապա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 xml:space="preserve">ուն </w:t>
            </w:r>
            <w:r>
              <w:rPr>
                <w:rFonts w:ascii="Times New Roman" w:eastAsiaTheme="minorHAnsi" w:hAnsi="Times New Roman" w:cs="Times New Roman"/>
                <w:color w:val="000000"/>
              </w:rPr>
              <w:t>վերադարձնում է</w:t>
            </w:r>
            <w:r w:rsidRPr="00717728">
              <w:rPr>
                <w:rFonts w:ascii="Times New Roman" w:eastAsiaTheme="minorHAnsi" w:hAnsi="Times New Roman" w:cs="Times New Roman"/>
                <w:color w:val="000000"/>
              </w:rPr>
              <w:t xml:space="preserve"> ավելորդ վճարված գումարը՝ </w:t>
            </w:r>
            <w:r>
              <w:rPr>
                <w:rFonts w:ascii="Times New Roman" w:eastAsiaTheme="minorHAnsi" w:hAnsi="Times New Roman" w:cs="Times New Roman"/>
                <w:color w:val="000000"/>
              </w:rPr>
              <w:t>դեբետային պարտավորագիր</w:t>
            </w:r>
            <w:r w:rsidRPr="00717728">
              <w:rPr>
                <w:rFonts w:ascii="Times New Roman" w:eastAsiaTheme="minorHAnsi" w:hAnsi="Times New Roman" w:cs="Times New Roman"/>
                <w:color w:val="000000"/>
              </w:rPr>
              <w:t xml:space="preserve"> ուղարկելով:</w:t>
            </w:r>
          </w:p>
        </w:tc>
        <w:tc>
          <w:tcPr>
            <w:tcW w:w="333" w:type="dxa"/>
            <w:gridSpan w:val="2"/>
            <w:tcBorders>
              <w:top w:val="nil"/>
              <w:left w:val="nil"/>
              <w:bottom w:val="nil"/>
              <w:right w:val="nil"/>
            </w:tcBorders>
          </w:tcPr>
          <w:p w14:paraId="6777DA23" w14:textId="77777777" w:rsidR="00495ADE" w:rsidRPr="00717728" w:rsidRDefault="00495ADE" w:rsidP="00FF2419">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2FC7E2E9" w14:textId="792DA74B" w:rsidR="00495ADE" w:rsidRPr="00717728" w:rsidRDefault="00495ADE" w:rsidP="00FF2419">
            <w:p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color w:val="000000"/>
              </w:rPr>
              <w:t>18.2. In particular, i</w:t>
            </w:r>
            <w:r w:rsidRPr="00717728">
              <w:rPr>
                <w:rFonts w:ascii="Times New Roman" w:eastAsiaTheme="minorHAnsi" w:hAnsi="Times New Roman" w:cs="Times New Roman"/>
              </w:rPr>
              <w:t xml:space="preserve">f at the end of the Action, the costs of the Action approved as eligible by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in compliance with Article 12 are less than the estimated eligible costs as referred to in Article 3.1, and the sub-grant amount obtained by applying the percentage laid down in Article 3.3 to the eligible costs of the action approved by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is lower than the amount of the initial prefinancing payment,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shall recover the amount paid in excess by issuing a debit note.</w:t>
            </w:r>
          </w:p>
        </w:tc>
      </w:tr>
      <w:tr w:rsidR="00495ADE" w:rsidRPr="00717728" w14:paraId="6FADC8F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D7ABEAD" w14:textId="6D7E2D87" w:rsidR="00495ADE" w:rsidRPr="00717728" w:rsidRDefault="00495ADE" w:rsidP="00FF2419">
            <w:pPr>
              <w:autoSpaceDE w:val="0"/>
              <w:autoSpaceDN w:val="0"/>
              <w:adjustRightInd w:val="0"/>
              <w:spacing w:after="120" w:line="259" w:lineRule="auto"/>
              <w:jc w:val="both"/>
              <w:rPr>
                <w:rFonts w:ascii="Times New Roman" w:hAnsi="Times New Roman" w:cs="Times New Roman"/>
                <w:b/>
              </w:rPr>
            </w:pPr>
            <w:r w:rsidRPr="00717728">
              <w:rPr>
                <w:rFonts w:ascii="Times New Roman" w:eastAsiaTheme="minorHAnsi" w:hAnsi="Times New Roman" w:cs="Times New Roman"/>
                <w:color w:val="000000"/>
              </w:rPr>
              <w:t xml:space="preserve">18.3. Ենթադրամաշնորհառուն պարտավորվում է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 xml:space="preserve">ուին վերադարձնել ավելորդ վճարված ցանկացած գումար դեբետային ծանուցումից հետո </w:t>
            </w:r>
            <w:r w:rsidRPr="00717728">
              <w:rPr>
                <w:rFonts w:ascii="Times New Roman" w:eastAsiaTheme="minorHAnsi" w:hAnsi="Times New Roman" w:cs="Times New Roman"/>
                <w:color w:val="000000"/>
                <w:highlight w:val="yellow"/>
              </w:rPr>
              <w:t>15</w:t>
            </w:r>
            <w:r w:rsidRPr="00717728">
              <w:rPr>
                <w:rFonts w:ascii="Times New Roman" w:eastAsiaTheme="minorHAnsi" w:hAnsi="Times New Roman" w:cs="Times New Roman"/>
                <w:color w:val="000000"/>
              </w:rPr>
              <w:t xml:space="preserve"> օրվա ընթացքում, որտեղ ծանուցումը համարվում է այն գրությունը, որով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ուն պահանջում է Ենթադրամաշնորհառուի տիրապետության տակ գտնվող գումարը: Բանկային վճարները կատարում է Ենթադրամաշնորհառուն:</w:t>
            </w:r>
          </w:p>
        </w:tc>
        <w:tc>
          <w:tcPr>
            <w:tcW w:w="333" w:type="dxa"/>
            <w:gridSpan w:val="2"/>
            <w:tcBorders>
              <w:top w:val="nil"/>
              <w:left w:val="nil"/>
              <w:bottom w:val="nil"/>
              <w:right w:val="nil"/>
            </w:tcBorders>
          </w:tcPr>
          <w:p w14:paraId="7FDAF50C" w14:textId="77777777" w:rsidR="00495ADE" w:rsidRPr="00717728" w:rsidRDefault="00495ADE" w:rsidP="00FF2419">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78F1CF62" w14:textId="7BF84E26" w:rsidR="00495ADE" w:rsidRPr="00717728" w:rsidRDefault="00495ADE" w:rsidP="00FF2419">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color w:val="000000"/>
              </w:rPr>
              <w:t xml:space="preserve">18.3. The Sub-Grantee undertakes to repay any amounts paid in excess by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within </w:t>
            </w:r>
            <w:r w:rsidRPr="00717728">
              <w:rPr>
                <w:rFonts w:ascii="Times New Roman" w:eastAsiaTheme="minorHAnsi" w:hAnsi="Times New Roman" w:cs="Times New Roman"/>
                <w:color w:val="000000"/>
                <w:highlight w:val="yellow"/>
              </w:rPr>
              <w:t>15</w:t>
            </w:r>
            <w:r w:rsidRPr="00717728">
              <w:rPr>
                <w:rFonts w:ascii="Times New Roman" w:eastAsiaTheme="minorHAnsi" w:hAnsi="Times New Roman" w:cs="Times New Roman"/>
                <w:color w:val="000000"/>
              </w:rPr>
              <w:t xml:space="preserve"> days of the issuing of the debit note, the latter being the letter by which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requests the amount owed by the Sub-Grantee. Bank charges shall be borne by the Sub-Grantee.</w:t>
            </w:r>
          </w:p>
        </w:tc>
      </w:tr>
      <w:tr w:rsidR="00495ADE" w:rsidRPr="00717728" w14:paraId="34C87A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BAB8ACB" w14:textId="3ACDE832" w:rsidR="00495ADE" w:rsidRPr="00717728" w:rsidRDefault="00495ADE" w:rsidP="005139A2">
            <w:pPr>
              <w:spacing w:after="120" w:line="259" w:lineRule="auto"/>
              <w:contextualSpacing/>
              <w:jc w:val="both"/>
              <w:rPr>
                <w:rFonts w:ascii="Times New Roman" w:hAnsi="Times New Roman" w:cs="Times New Roman"/>
                <w:szCs w:val="18"/>
              </w:rPr>
            </w:pPr>
            <w:r w:rsidRPr="00717728">
              <w:rPr>
                <w:rFonts w:ascii="Times New Roman" w:eastAsiaTheme="minorHAnsi" w:hAnsi="Times New Roman" w:cs="Times New Roman"/>
                <w:color w:val="000000"/>
              </w:rPr>
              <w:t xml:space="preserve">18.4 Եթե Ենթադրամաշնորհառուն գումարը չի վերադարձնում սահմանված ժամեկտում, ապա </w:t>
            </w:r>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 xml:space="preserve">ուն կարող է ավելացնել վերադարձման ենթակա գումարի չափը՝ ավելացնելով տոկոսներ ՀՀ կենտրոնական բանկի կողմից սահմանված </w:t>
            </w:r>
            <w:r>
              <w:rPr>
                <w:rFonts w:ascii="Times New Roman" w:eastAsiaTheme="minorHAnsi" w:hAnsi="Times New Roman" w:cs="Times New Roman"/>
                <w:color w:val="000000"/>
              </w:rPr>
              <w:t>բանկային տոկոսի հաշվարկային դրույքով</w:t>
            </w:r>
            <w:r w:rsidRPr="00717728">
              <w:rPr>
                <w:rFonts w:ascii="Times New Roman" w:eastAsiaTheme="minorHAnsi" w:hAnsi="Times New Roman" w:cs="Times New Roman"/>
                <w:color w:val="000000"/>
              </w:rPr>
              <w:t>:</w:t>
            </w:r>
          </w:p>
        </w:tc>
        <w:tc>
          <w:tcPr>
            <w:tcW w:w="333" w:type="dxa"/>
            <w:gridSpan w:val="2"/>
            <w:tcBorders>
              <w:top w:val="nil"/>
              <w:left w:val="nil"/>
              <w:bottom w:val="nil"/>
              <w:right w:val="nil"/>
            </w:tcBorders>
          </w:tcPr>
          <w:p w14:paraId="75A469EB" w14:textId="77777777" w:rsidR="00495ADE" w:rsidRPr="00717728" w:rsidRDefault="00495ADE" w:rsidP="005139A2">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1EF84053" w14:textId="0DF7C745" w:rsidR="00495ADE" w:rsidRPr="00717728" w:rsidRDefault="00495ADE" w:rsidP="005139A2">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color w:val="000000"/>
              </w:rPr>
              <w:t xml:space="preserve">18.4 Should the Sub-Grantee fail to make repayment within the deadline,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may increase the amounts due by adding interest at the </w:t>
            </w:r>
            <w:r>
              <w:rPr>
                <w:rFonts w:ascii="Times New Roman" w:eastAsiaTheme="minorHAnsi" w:hAnsi="Times New Roman" w:cs="Times New Roman"/>
                <w:color w:val="000000"/>
              </w:rPr>
              <w:t>settlement bank interest rate</w:t>
            </w:r>
            <w:r w:rsidRPr="00717728">
              <w:rPr>
                <w:rFonts w:ascii="Times New Roman" w:eastAsiaTheme="minorHAnsi" w:hAnsi="Times New Roman" w:cs="Times New Roman"/>
                <w:color w:val="000000"/>
              </w:rPr>
              <w:t xml:space="preserve"> rate applied by the Central Bank of Armenia.</w:t>
            </w:r>
          </w:p>
        </w:tc>
      </w:tr>
      <w:tr w:rsidR="00495ADE" w:rsidRPr="00717728" w14:paraId="4EAA1BB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0B3B4F5" w14:textId="39D64126" w:rsidR="00495ADE" w:rsidRPr="00717728" w:rsidRDefault="00495ADE" w:rsidP="00FF2419">
            <w:pPr>
              <w:spacing w:after="120" w:line="259" w:lineRule="auto"/>
              <w:contextualSpacing/>
              <w:jc w:val="both"/>
              <w:rPr>
                <w:rFonts w:ascii="Times New Roman" w:hAnsi="Times New Roman" w:cs="Times New Roman"/>
                <w:b/>
                <w:szCs w:val="18"/>
              </w:rPr>
            </w:pPr>
            <w:bookmarkStart w:id="38" w:name="_Toc70236986"/>
            <w:r w:rsidRPr="00717728">
              <w:rPr>
                <w:rFonts w:ascii="Times New Roman" w:hAnsi="Times New Roman" w:cs="Times New Roman"/>
                <w:b/>
              </w:rPr>
              <w:t>ՀՈԴՎԱԾ 19 – Իրականացման կասեցում</w:t>
            </w:r>
            <w:bookmarkEnd w:id="38"/>
          </w:p>
        </w:tc>
        <w:tc>
          <w:tcPr>
            <w:tcW w:w="333" w:type="dxa"/>
            <w:gridSpan w:val="2"/>
            <w:tcBorders>
              <w:top w:val="nil"/>
              <w:left w:val="nil"/>
              <w:bottom w:val="nil"/>
              <w:right w:val="nil"/>
            </w:tcBorders>
          </w:tcPr>
          <w:p w14:paraId="3B88D86C" w14:textId="77777777" w:rsidR="00495ADE" w:rsidRPr="00717728" w:rsidRDefault="00495ADE" w:rsidP="00FF2419">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39320301" w14:textId="3F8063FE" w:rsidR="00495ADE" w:rsidRPr="00717728" w:rsidRDefault="00495ADE" w:rsidP="00FF2419">
            <w:pPr>
              <w:tabs>
                <w:tab w:val="left" w:pos="6237"/>
              </w:tabs>
              <w:spacing w:before="60" w:after="60" w:line="240" w:lineRule="auto"/>
              <w:jc w:val="both"/>
              <w:rPr>
                <w:rFonts w:ascii="Times New Roman" w:hAnsi="Times New Roman" w:cs="Times New Roman"/>
                <w:b/>
              </w:rPr>
            </w:pPr>
            <w:bookmarkStart w:id="39" w:name="_Toc67590186"/>
            <w:r w:rsidRPr="00717728">
              <w:rPr>
                <w:rFonts w:ascii="Times New Roman" w:hAnsi="Times New Roman" w:cs="Times New Roman"/>
                <w:b/>
              </w:rPr>
              <w:t>ARTICLE 19 – Suspension of the Implementation</w:t>
            </w:r>
            <w:bookmarkEnd w:id="39"/>
          </w:p>
        </w:tc>
      </w:tr>
      <w:tr w:rsidR="00495ADE" w:rsidRPr="00717728" w14:paraId="575A7F6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973B86B" w14:textId="69AB525D" w:rsidR="00495ADE" w:rsidRPr="00AA07B7" w:rsidRDefault="00495ADE">
            <w:pPr>
              <w:spacing w:after="120" w:line="259" w:lineRule="auto"/>
              <w:contextualSpacing/>
              <w:jc w:val="both"/>
              <w:rPr>
                <w:rFonts w:ascii="Times New Roman" w:hAnsi="Times New Roman" w:cs="Times New Roman"/>
              </w:rPr>
            </w:pPr>
            <w:r w:rsidRPr="00AA07B7">
              <w:rPr>
                <w:rFonts w:ascii="Times New Roman" w:eastAsiaTheme="minorHAnsi" w:hAnsi="Times New Roman" w:cs="Times New Roman"/>
                <w:szCs w:val="18"/>
              </w:rPr>
              <w:t xml:space="preserve">19.1 Բացառիկ հանգամանքների, ներառյալ ֆորս մաժորի առաջացման դեպքում, որոնք չափազանց դժվարացնում կամ վտանգավոր են դարձնում Պայմանագրի կատարումը, </w:t>
            </w:r>
            <w:r w:rsidRPr="000941D1">
              <w:rPr>
                <w:rFonts w:ascii="Times New Roman" w:hAnsi="Times New Roman" w:cs="Times New Roman"/>
                <w:bCs/>
              </w:rPr>
              <w:t>Ենթադրամաշնորհառուն</w:t>
            </w:r>
            <w:r w:rsidR="006747E7" w:rsidRPr="000941D1">
              <w:rPr>
                <w:rFonts w:ascii="Times New Roman" w:hAnsi="Times New Roman" w:cs="Times New Roman"/>
                <w:bCs/>
              </w:rPr>
              <w:t xml:space="preserve"> </w:t>
            </w:r>
            <w:r w:rsidRPr="00AA07B7">
              <w:rPr>
                <w:rFonts w:ascii="Times New Roman" w:eastAsiaTheme="minorHAnsi" w:hAnsi="Times New Roman" w:cs="Times New Roman"/>
                <w:szCs w:val="18"/>
              </w:rPr>
              <w:t xml:space="preserve">կամ </w:t>
            </w:r>
            <w:r w:rsidR="006747E7" w:rsidRPr="00AA07B7">
              <w:rPr>
                <w:rFonts w:ascii="Times New Roman" w:eastAsiaTheme="minorHAnsi" w:hAnsi="Times New Roman" w:cs="Times New Roman"/>
                <w:szCs w:val="18"/>
              </w:rPr>
              <w:t xml:space="preserve">Ենթադրամաշնորհատուն </w:t>
            </w:r>
            <w:r w:rsidRPr="00AA07B7">
              <w:rPr>
                <w:rFonts w:ascii="Times New Roman" w:eastAsiaTheme="minorHAnsi" w:hAnsi="Times New Roman" w:cs="Times New Roman"/>
                <w:szCs w:val="18"/>
              </w:rPr>
              <w:lastRenderedPageBreak/>
              <w:t>կարող է կասեցնել Պայմանագրի կատարումը: Այն կողմը, որը մտադիր է դադարեցնել կատարումը, անհապաղ գրավոր տեղեկացնում է մյուս կողմին` պատճառաբանելով կասեցումը ու հայտնելով դրա հավանական տևողությունը:</w:t>
            </w:r>
          </w:p>
        </w:tc>
        <w:tc>
          <w:tcPr>
            <w:tcW w:w="333" w:type="dxa"/>
            <w:gridSpan w:val="2"/>
            <w:tcBorders>
              <w:top w:val="nil"/>
              <w:left w:val="nil"/>
              <w:bottom w:val="nil"/>
              <w:right w:val="nil"/>
            </w:tcBorders>
          </w:tcPr>
          <w:p w14:paraId="303ABA54" w14:textId="77777777" w:rsidR="00495ADE" w:rsidRPr="00AA07B7" w:rsidRDefault="00495ADE" w:rsidP="00483EFA">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6776E5CB" w14:textId="10701F63" w:rsidR="00495ADE" w:rsidRPr="00AA07B7" w:rsidRDefault="00495ADE" w:rsidP="00483EFA">
            <w:pPr>
              <w:tabs>
                <w:tab w:val="left" w:pos="6237"/>
              </w:tabs>
              <w:spacing w:before="60" w:after="60" w:line="240" w:lineRule="auto"/>
              <w:jc w:val="both"/>
              <w:rPr>
                <w:rFonts w:ascii="Times New Roman" w:hAnsi="Times New Roman" w:cs="Times New Roman"/>
                <w:b/>
              </w:rPr>
            </w:pPr>
            <w:r w:rsidRPr="00AA07B7">
              <w:rPr>
                <w:rFonts w:ascii="Times New Roman" w:eastAsiaTheme="minorHAnsi" w:hAnsi="Times New Roman" w:cs="Times New Roman"/>
                <w:szCs w:val="18"/>
              </w:rPr>
              <w:t xml:space="preserve">19.1 If exceptional circumstances, including force majeure, occur that make the implementation of the Contract excessively difficult or dangerous, such </w:t>
            </w:r>
            <w:r w:rsidRPr="00AA07B7">
              <w:rPr>
                <w:rFonts w:ascii="Times New Roman" w:eastAsiaTheme="minorHAnsi" w:hAnsi="Times New Roman" w:cs="Times New Roman"/>
                <w:szCs w:val="18"/>
              </w:rPr>
              <w:lastRenderedPageBreak/>
              <w:t xml:space="preserve">implementation can be suspended by the </w:t>
            </w:r>
            <w:r w:rsidRPr="000941D1">
              <w:rPr>
                <w:rFonts w:ascii="Times New Roman" w:hAnsi="Times New Roman" w:cs="Times New Roman"/>
                <w:bCs/>
              </w:rPr>
              <w:t xml:space="preserve">Sub-Grantee </w:t>
            </w:r>
            <w:r w:rsidRPr="00AA07B7">
              <w:rPr>
                <w:rFonts w:ascii="Times New Roman" w:eastAsiaTheme="minorHAnsi" w:hAnsi="Times New Roman" w:cs="Times New Roman"/>
                <w:szCs w:val="18"/>
              </w:rPr>
              <w:t>or by the Sub-grantor. The party intending to suspend implementation shall inform the other in writing without delay, explaining the reasons for the suspension and its likely duration.</w:t>
            </w:r>
          </w:p>
        </w:tc>
      </w:tr>
      <w:tr w:rsidR="00495ADE" w:rsidRPr="00717728" w14:paraId="5CA05E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A48BCD6" w14:textId="31FCB181" w:rsidR="00495ADE" w:rsidRPr="00717728" w:rsidRDefault="00495ADE" w:rsidP="00FF2419">
            <w:pPr>
              <w:spacing w:after="120" w:line="259" w:lineRule="auto"/>
              <w:contextualSpacing/>
              <w:jc w:val="both"/>
              <w:rPr>
                <w:rFonts w:ascii="Times New Roman" w:hAnsi="Times New Roman" w:cs="Times New Roman"/>
              </w:rPr>
            </w:pPr>
            <w:r w:rsidRPr="00717728">
              <w:rPr>
                <w:rFonts w:ascii="Times New Roman" w:eastAsiaTheme="minorHAnsi" w:hAnsi="Times New Roman" w:cs="Times New Roman"/>
                <w:szCs w:val="18"/>
              </w:rPr>
              <w:lastRenderedPageBreak/>
              <w:t xml:space="preserve">19.2 Ենթադրամաշնորհառուն պետք է գործադրի բոլոր ջանքերը՝ կասեցման տևողությունն ու հետևանքները նվազագույնի հասցնելու համար, և վերսկսի կատարումը անմիջապես, երբ հանգամանքները թույլ տան՝ այդ մասին տեղեկացնելով </w:t>
            </w:r>
            <w:r>
              <w:rPr>
                <w:rFonts w:ascii="Times New Roman" w:eastAsiaTheme="minorHAnsi" w:hAnsi="Times New Roman" w:cs="Times New Roman"/>
                <w:szCs w:val="18"/>
              </w:rPr>
              <w:t>Ենթադրամաշնորհատ</w:t>
            </w:r>
            <w:r w:rsidRPr="00717728">
              <w:rPr>
                <w:rFonts w:ascii="Times New Roman" w:eastAsiaTheme="minorHAnsi" w:hAnsi="Times New Roman" w:cs="Times New Roman"/>
                <w:szCs w:val="18"/>
              </w:rPr>
              <w:t xml:space="preserve">ուին: Եթե կատարումը հնարավոր չէ վերսկսել, ապա Պայմանագիրը կարող է լուծվել 20-րդ հոդվածի համաձայն՝ Ենթադրամաշնորհառուի կամ </w:t>
            </w:r>
            <w:r>
              <w:rPr>
                <w:rFonts w:ascii="Times New Roman" w:eastAsiaTheme="minorHAnsi" w:hAnsi="Times New Roman" w:cs="Times New Roman"/>
                <w:szCs w:val="18"/>
              </w:rPr>
              <w:t>Ենթադրամաշնորհատ</w:t>
            </w:r>
            <w:r w:rsidRPr="00717728">
              <w:rPr>
                <w:rFonts w:ascii="Times New Roman" w:eastAsiaTheme="minorHAnsi" w:hAnsi="Times New Roman" w:cs="Times New Roman"/>
                <w:szCs w:val="18"/>
              </w:rPr>
              <w:t>ուի նախաձեռնությամբ:</w:t>
            </w:r>
          </w:p>
        </w:tc>
        <w:tc>
          <w:tcPr>
            <w:tcW w:w="333" w:type="dxa"/>
            <w:gridSpan w:val="2"/>
            <w:tcBorders>
              <w:top w:val="nil"/>
              <w:left w:val="nil"/>
              <w:bottom w:val="nil"/>
              <w:right w:val="nil"/>
            </w:tcBorders>
          </w:tcPr>
          <w:p w14:paraId="36E52B92"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13812620" w14:textId="580AF1A5" w:rsidR="00495ADE" w:rsidRPr="00717728" w:rsidRDefault="00495ADE" w:rsidP="00FA4D14">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szCs w:val="18"/>
              </w:rPr>
              <w:t xml:space="preserve">19.2 The Sub-Grantee shall undertake all efforts to minimise the time and effects of suspension, and resume implementation as soon as circumstances allow, informing the </w:t>
            </w:r>
            <w:r>
              <w:rPr>
                <w:rFonts w:ascii="Times New Roman" w:eastAsiaTheme="minorHAnsi" w:hAnsi="Times New Roman" w:cs="Times New Roman"/>
                <w:szCs w:val="18"/>
              </w:rPr>
              <w:t>Sub-grantor</w:t>
            </w:r>
            <w:r w:rsidRPr="00717728">
              <w:rPr>
                <w:rFonts w:ascii="Times New Roman" w:eastAsiaTheme="minorHAnsi" w:hAnsi="Times New Roman" w:cs="Times New Roman"/>
                <w:szCs w:val="18"/>
              </w:rPr>
              <w:t xml:space="preserve"> accordingly. If implementation cannot be resumed the contract may be terminated in accordance with Article 20, at either the Sub-Grantee or the </w:t>
            </w:r>
            <w:r>
              <w:rPr>
                <w:rFonts w:ascii="Times New Roman" w:eastAsiaTheme="minorHAnsi" w:hAnsi="Times New Roman" w:cs="Times New Roman"/>
                <w:szCs w:val="18"/>
              </w:rPr>
              <w:t>Sub-grantor</w:t>
            </w:r>
            <w:r w:rsidRPr="00717728">
              <w:rPr>
                <w:rFonts w:ascii="Times New Roman" w:eastAsiaTheme="minorHAnsi" w:hAnsi="Times New Roman" w:cs="Times New Roman"/>
                <w:szCs w:val="18"/>
              </w:rPr>
              <w:t xml:space="preserve"> initiative.</w:t>
            </w:r>
          </w:p>
        </w:tc>
      </w:tr>
      <w:tr w:rsidR="00495ADE" w:rsidRPr="00717728" w14:paraId="6A744A3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720A1CF" w14:textId="0A1DC0E6" w:rsidR="00495ADE" w:rsidRPr="00717728" w:rsidRDefault="00495ADE" w:rsidP="00483EFA">
            <w:pPr>
              <w:tabs>
                <w:tab w:val="left" w:pos="4536"/>
              </w:tabs>
              <w:spacing w:after="120" w:line="259" w:lineRule="auto"/>
              <w:contextualSpacing/>
              <w:jc w:val="both"/>
              <w:rPr>
                <w:rFonts w:ascii="Times New Roman" w:eastAsia="Calibri" w:hAnsi="Times New Roman" w:cs="Times New Roman"/>
                <w:color w:val="000000"/>
                <w:lang w:val="en-GB"/>
              </w:rPr>
            </w:pPr>
            <w:r w:rsidRPr="00717728">
              <w:rPr>
                <w:rFonts w:ascii="Times New Roman" w:eastAsiaTheme="minorHAnsi" w:hAnsi="Times New Roman" w:cs="Times New Roman"/>
                <w:szCs w:val="18"/>
              </w:rPr>
              <w:t xml:space="preserve">19.3. Ֆորս մաժոր եզրույթը սույն հոդվածի իմաստով ներառում է ցանկացած անկանխատեսելի իրադարձություն, որը չի գտնվում </w:t>
            </w:r>
            <w:r>
              <w:rPr>
                <w:rFonts w:ascii="Times New Roman" w:eastAsiaTheme="minorHAnsi" w:hAnsi="Times New Roman" w:cs="Times New Roman"/>
                <w:szCs w:val="18"/>
              </w:rPr>
              <w:t xml:space="preserve">սույն </w:t>
            </w:r>
            <w:r w:rsidRPr="00717728">
              <w:rPr>
                <w:rFonts w:ascii="Times New Roman" w:eastAsiaTheme="minorHAnsi" w:hAnsi="Times New Roman" w:cs="Times New Roman"/>
                <w:szCs w:val="18"/>
              </w:rPr>
              <w:t xml:space="preserve">Պայմանագրի որևէ կողմի վերահսկողության ներքո, և որը </w:t>
            </w:r>
            <w:r>
              <w:rPr>
                <w:rFonts w:ascii="Times New Roman" w:eastAsiaTheme="minorHAnsi" w:hAnsi="Times New Roman" w:cs="Times New Roman"/>
                <w:szCs w:val="18"/>
              </w:rPr>
              <w:t>համակողմանի գնահատմամբ</w:t>
            </w:r>
            <w:r w:rsidRPr="00717728">
              <w:rPr>
                <w:rFonts w:ascii="Times New Roman" w:eastAsiaTheme="minorHAnsi" w:hAnsi="Times New Roman" w:cs="Times New Roman"/>
                <w:szCs w:val="18"/>
              </w:rPr>
              <w:t xml:space="preserve"> ոչ մի կողմ ի վիճակի չէ հաղթահարելու, ինչպիսիք են՝ տարերային աղետները, գործադուլները, </w:t>
            </w:r>
            <w:r>
              <w:rPr>
                <w:rFonts w:ascii="Times New Roman" w:eastAsiaTheme="minorHAnsi" w:hAnsi="Times New Roman" w:cs="Times New Roman"/>
                <w:szCs w:val="18"/>
              </w:rPr>
              <w:t>արգելափակումները</w:t>
            </w:r>
            <w:r w:rsidRPr="00717728">
              <w:rPr>
                <w:rFonts w:ascii="Times New Roman" w:eastAsiaTheme="minorHAnsi" w:hAnsi="Times New Roman" w:cs="Times New Roman"/>
                <w:szCs w:val="18"/>
              </w:rPr>
              <w:t xml:space="preserve"> կամ արդյունաբերական խաթարումները, </w:t>
            </w:r>
            <w:r>
              <w:rPr>
                <w:rFonts w:ascii="Times New Roman" w:eastAsiaTheme="minorHAnsi" w:hAnsi="Times New Roman" w:cs="Times New Roman"/>
                <w:szCs w:val="18"/>
              </w:rPr>
              <w:t>հանրային վտանգները</w:t>
            </w:r>
            <w:r w:rsidRPr="00717728">
              <w:rPr>
                <w:rFonts w:ascii="Times New Roman" w:eastAsiaTheme="minorHAnsi" w:hAnsi="Times New Roman" w:cs="Times New Roman"/>
                <w:szCs w:val="18"/>
              </w:rPr>
              <w:t>, հայտարարված կամ չհայտարարված պատերազմները, շրջափակումները, ապստամբությունները, խռովությունները, համաճարակները, սողանքները, երկրաշարժերը, փոթորիկները, կայծակները, ջրհեղեղները, լվացումները, քաղաքացիական անկարգությունները, պայթյունները: Եվրոպական Միության կողմից գործընկեր երկրի հետ համագործակցությունը դադարեցնելու մասին որոշումը համարվում է ֆորս մաժոր, եթե դա ենթադրում է Պայմանագրով նախատեսված ֆինանսավորման կասեցում:</w:t>
            </w:r>
          </w:p>
        </w:tc>
        <w:tc>
          <w:tcPr>
            <w:tcW w:w="333" w:type="dxa"/>
            <w:gridSpan w:val="2"/>
            <w:tcBorders>
              <w:top w:val="nil"/>
              <w:left w:val="nil"/>
              <w:bottom w:val="nil"/>
              <w:right w:val="nil"/>
            </w:tcBorders>
          </w:tcPr>
          <w:p w14:paraId="7DC28228"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29EC548C" w14:textId="10C557B5" w:rsidR="00495ADE" w:rsidRPr="00717728" w:rsidRDefault="00495ADE" w:rsidP="00FA4D14">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szCs w:val="18"/>
              </w:rPr>
              <w:t>19.3. The term force majeure, as used herein covers any unforeseeable events, not within the control of either party to this contract and which by the exercise of due diligence neither party is able to overcome such as acts of God,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tc>
      </w:tr>
      <w:tr w:rsidR="00495ADE" w:rsidRPr="00717728" w14:paraId="2A11701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9FA8DAC" w14:textId="212A610B" w:rsidR="00495ADE" w:rsidRPr="00717728" w:rsidRDefault="00495ADE" w:rsidP="00FF2419">
            <w:pPr>
              <w:tabs>
                <w:tab w:val="left" w:pos="4536"/>
              </w:tabs>
              <w:spacing w:after="120" w:line="259" w:lineRule="auto"/>
              <w:contextualSpacing/>
              <w:jc w:val="both"/>
              <w:rPr>
                <w:rFonts w:ascii="Times New Roman" w:eastAsia="Calibri" w:hAnsi="Times New Roman" w:cs="Times New Roman"/>
                <w:color w:val="000000"/>
                <w:lang w:val="en-GB"/>
              </w:rPr>
            </w:pPr>
            <w:r w:rsidRPr="00717728">
              <w:rPr>
                <w:rFonts w:ascii="Times New Roman" w:eastAsiaTheme="minorHAnsi" w:hAnsi="Times New Roman" w:cs="Times New Roman"/>
                <w:szCs w:val="18"/>
              </w:rPr>
              <w:t>19.4. Ենթադրամաշնորհառուն չի համարվում իր պայմանագրային պարտավորությունները խախտող, եթե դրանց կատարմանը խոչընդոտում են ֆորսմաժորային հանգամանքները:</w:t>
            </w:r>
          </w:p>
        </w:tc>
        <w:tc>
          <w:tcPr>
            <w:tcW w:w="333" w:type="dxa"/>
            <w:gridSpan w:val="2"/>
            <w:tcBorders>
              <w:top w:val="nil"/>
              <w:left w:val="nil"/>
              <w:bottom w:val="nil"/>
              <w:right w:val="nil"/>
            </w:tcBorders>
          </w:tcPr>
          <w:p w14:paraId="190DAF1E"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1C19EFCE" w14:textId="2A083CB5" w:rsidR="00495ADE" w:rsidRPr="00717728" w:rsidRDefault="00495ADE" w:rsidP="00FA4D14">
            <w:p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szCs w:val="18"/>
              </w:rPr>
              <w:t>19.4. The Sub-Grantee shall not be held in breach of its contractual obligations if it is prevented from fulfilling them by circumstances of force majeure.</w:t>
            </w:r>
          </w:p>
        </w:tc>
      </w:tr>
      <w:tr w:rsidR="00495ADE" w:rsidRPr="00717728" w14:paraId="75EE818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B5F5382" w14:textId="6B8B5BF8" w:rsidR="00495ADE" w:rsidRPr="00717728" w:rsidRDefault="00495ADE" w:rsidP="00FF2419">
            <w:pPr>
              <w:tabs>
                <w:tab w:val="left" w:pos="4536"/>
              </w:tabs>
              <w:spacing w:after="120" w:line="259" w:lineRule="auto"/>
              <w:contextualSpacing/>
              <w:jc w:val="both"/>
              <w:rPr>
                <w:rFonts w:ascii="Times New Roman" w:eastAsiaTheme="minorHAnsi" w:hAnsi="Times New Roman" w:cs="Times New Roman"/>
                <w:color w:val="000000"/>
              </w:rPr>
            </w:pPr>
            <w:r w:rsidRPr="00717728">
              <w:rPr>
                <w:rFonts w:ascii="Times New Roman" w:eastAsiaTheme="minorHAnsi" w:hAnsi="Times New Roman" w:cs="Times New Roman"/>
                <w:szCs w:val="18"/>
              </w:rPr>
              <w:t>19.5. 19.1-ին հոդվածի համաձայն կասեցման դեպքում Գործողության իրականացման ժամկետը երկարաձգվում է կասեցման տևողությանը համարժեք ժամկետով` չխախտելով Պայմանագրում կատարված որևէ փոփոխություն, որը կարող է անհրաժեշտ լինել՝ Գործողությունը իրականացման նոր պայմաններին հարմարեցնելու համար:</w:t>
            </w:r>
          </w:p>
        </w:tc>
        <w:tc>
          <w:tcPr>
            <w:tcW w:w="333" w:type="dxa"/>
            <w:gridSpan w:val="2"/>
            <w:tcBorders>
              <w:top w:val="nil"/>
              <w:left w:val="nil"/>
              <w:bottom w:val="nil"/>
              <w:right w:val="nil"/>
            </w:tcBorders>
          </w:tcPr>
          <w:p w14:paraId="5669D205"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63134943" w14:textId="3D03D0B0" w:rsidR="00495ADE" w:rsidRPr="00717728" w:rsidRDefault="00495ADE" w:rsidP="00FA4D14">
            <w:pPr>
              <w:tabs>
                <w:tab w:val="left" w:pos="6237"/>
              </w:tabs>
              <w:spacing w:before="60" w:after="60" w:line="240" w:lineRule="auto"/>
              <w:jc w:val="both"/>
              <w:rPr>
                <w:rFonts w:ascii="Times New Roman" w:hAnsi="Times New Roman" w:cs="Times New Roman"/>
                <w:spacing w:val="-2"/>
              </w:rPr>
            </w:pPr>
            <w:r w:rsidRPr="00717728">
              <w:rPr>
                <w:rFonts w:ascii="Times New Roman" w:eastAsiaTheme="minorHAnsi" w:hAnsi="Times New Roman" w:cs="Times New Roman"/>
                <w:szCs w:val="18"/>
              </w:rPr>
              <w:t xml:space="preserve">19.5. </w:t>
            </w:r>
            <w:r w:rsidRPr="00717728">
              <w:rPr>
                <w:rFonts w:ascii="Times New Roman" w:hAnsi="Times New Roman" w:cs="Times New Roman"/>
                <w:szCs w:val="18"/>
              </w:rPr>
              <w:t>In case of suspension according to Article 19.1, the implementation period of the action shall be extended by a period equivalent to the length of suspension, without prejudice to any amendment to the contract that may be necessary to adapt the action to the new implementing conditions.</w:t>
            </w:r>
          </w:p>
        </w:tc>
      </w:tr>
      <w:tr w:rsidR="00495ADE" w:rsidRPr="00717728" w14:paraId="0A3AFA1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AC3909E" w14:textId="65C2D4D0" w:rsidR="00495ADE" w:rsidRPr="00717728" w:rsidRDefault="00495ADE" w:rsidP="00FF2419">
            <w:pPr>
              <w:tabs>
                <w:tab w:val="left" w:pos="4536"/>
              </w:tabs>
              <w:spacing w:after="120" w:line="259" w:lineRule="auto"/>
              <w:contextualSpacing/>
              <w:jc w:val="both"/>
              <w:rPr>
                <w:rFonts w:ascii="Times New Roman" w:eastAsiaTheme="minorHAnsi" w:hAnsi="Times New Roman" w:cs="Times New Roman"/>
                <w:b/>
                <w:szCs w:val="18"/>
              </w:rPr>
            </w:pPr>
            <w:bookmarkStart w:id="40" w:name="_Toc70236987"/>
            <w:r w:rsidRPr="00717728">
              <w:rPr>
                <w:rFonts w:ascii="Times New Roman" w:hAnsi="Times New Roman" w:cs="Times New Roman"/>
                <w:b/>
              </w:rPr>
              <w:t>ՀՈԴՎԱԾ 20 – Լուծում</w:t>
            </w:r>
            <w:bookmarkEnd w:id="40"/>
          </w:p>
        </w:tc>
        <w:tc>
          <w:tcPr>
            <w:tcW w:w="333" w:type="dxa"/>
            <w:gridSpan w:val="2"/>
            <w:tcBorders>
              <w:top w:val="nil"/>
              <w:left w:val="nil"/>
              <w:bottom w:val="nil"/>
              <w:right w:val="nil"/>
            </w:tcBorders>
          </w:tcPr>
          <w:p w14:paraId="19966518" w14:textId="77777777" w:rsidR="00495ADE" w:rsidRPr="00717728" w:rsidRDefault="00495ADE" w:rsidP="00FA4D14">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B8FE46C" w14:textId="34AADABD" w:rsidR="00495ADE" w:rsidRPr="00717728" w:rsidRDefault="00495ADE" w:rsidP="00FA4D14">
            <w:pPr>
              <w:tabs>
                <w:tab w:val="left" w:pos="6237"/>
              </w:tabs>
              <w:spacing w:before="60" w:after="60" w:line="240" w:lineRule="auto"/>
              <w:jc w:val="both"/>
              <w:rPr>
                <w:rFonts w:ascii="Times New Roman" w:hAnsi="Times New Roman" w:cs="Times New Roman"/>
                <w:b/>
                <w:bCs/>
                <w:spacing w:val="-2"/>
              </w:rPr>
            </w:pPr>
            <w:bookmarkStart w:id="41" w:name="_Toc67590187"/>
            <w:r w:rsidRPr="00717728">
              <w:rPr>
                <w:rFonts w:ascii="Times New Roman" w:hAnsi="Times New Roman" w:cs="Times New Roman"/>
                <w:b/>
              </w:rPr>
              <w:t>ARTICLE 20 – Termination</w:t>
            </w:r>
            <w:bookmarkEnd w:id="41"/>
          </w:p>
        </w:tc>
      </w:tr>
      <w:tr w:rsidR="00495ADE" w:rsidRPr="00717728" w14:paraId="2C43CAB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42A59FD" w14:textId="127F93B8" w:rsidR="00495ADE" w:rsidRPr="00AA07B7" w:rsidRDefault="00495ADE" w:rsidP="00273B86">
            <w:pPr>
              <w:spacing w:after="120" w:line="259" w:lineRule="auto"/>
              <w:contextualSpacing/>
              <w:jc w:val="both"/>
              <w:rPr>
                <w:rFonts w:ascii="Times New Roman" w:hAnsi="Times New Roman" w:cs="Times New Roman"/>
                <w:szCs w:val="18"/>
              </w:rPr>
            </w:pPr>
            <w:r w:rsidRPr="00AA07B7">
              <w:rPr>
                <w:rFonts w:ascii="Times New Roman" w:hAnsi="Times New Roman" w:cs="Times New Roman"/>
                <w:szCs w:val="18"/>
              </w:rPr>
              <w:t xml:space="preserve">20.1 19.1-ին հոդվածով նախատեսված դեպքերում, եթե Կողմերից մեկը կարծում է, որ Պայմանագրի կատարումը արդյունավետ և պատշաճ կերպով չի կարող շարունակվել, ապա նա դրա մասին պետք է պատշաճ կերպով հայտնի մյուսին Կողմին: Լուծում չգտնելու դեպքում Ենթադրամաշնորհատուն և Ենթադրամաշնորհառուն կարող են լուծել Պայմանագիրը: </w:t>
            </w:r>
          </w:p>
          <w:p w14:paraId="1F6771B3" w14:textId="4B37869B" w:rsidR="00495ADE" w:rsidRPr="000941D1" w:rsidRDefault="00495ADE">
            <w:pPr>
              <w:tabs>
                <w:tab w:val="left" w:pos="4536"/>
              </w:tabs>
              <w:spacing w:after="120" w:line="259" w:lineRule="auto"/>
              <w:contextualSpacing/>
              <w:jc w:val="both"/>
              <w:rPr>
                <w:rFonts w:ascii="Times New Roman" w:eastAsiaTheme="minorHAnsi" w:hAnsi="Times New Roman" w:cs="Times New Roman"/>
              </w:rPr>
            </w:pPr>
            <w:r w:rsidRPr="00AA07B7">
              <w:rPr>
                <w:rFonts w:ascii="Times New Roman" w:hAnsi="Times New Roman" w:cs="Times New Roman"/>
                <w:szCs w:val="18"/>
              </w:rPr>
              <w:lastRenderedPageBreak/>
              <w:t xml:space="preserve">Լուծման վերաբերյալ համաձայնության չգալով՝ </w:t>
            </w:r>
            <w:r w:rsidRPr="000941D1">
              <w:rPr>
                <w:rFonts w:ascii="Times New Roman" w:hAnsi="Times New Roman" w:cs="Times New Roman"/>
                <w:bCs/>
              </w:rPr>
              <w:t xml:space="preserve">Ենթադրամաշնորհառուն </w:t>
            </w:r>
            <w:r w:rsidRPr="00AA07B7">
              <w:rPr>
                <w:rFonts w:ascii="Times New Roman" w:hAnsi="Times New Roman" w:cs="Times New Roman"/>
                <w:szCs w:val="18"/>
              </w:rPr>
              <w:t>կամ Ենթադրամաշնորհատուն կարող են լուծել Պայմանագիրը՝ երկու ամիս առաջ այդ մասին գրավոր ծանուցելով՝ առանց հատուցման պահանջի:</w:t>
            </w:r>
          </w:p>
        </w:tc>
        <w:tc>
          <w:tcPr>
            <w:tcW w:w="333" w:type="dxa"/>
            <w:gridSpan w:val="2"/>
            <w:tcBorders>
              <w:top w:val="nil"/>
              <w:left w:val="nil"/>
              <w:bottom w:val="nil"/>
              <w:right w:val="nil"/>
            </w:tcBorders>
          </w:tcPr>
          <w:p w14:paraId="5A5DA5C0" w14:textId="77777777" w:rsidR="00495ADE" w:rsidRPr="00AA07B7" w:rsidRDefault="00495ADE" w:rsidP="00FA4D14">
            <w:pPr>
              <w:spacing w:after="120" w:line="259" w:lineRule="auto"/>
              <w:contextualSpacing/>
              <w:jc w:val="both"/>
              <w:rPr>
                <w:rFonts w:ascii="Times New Roman" w:hAnsi="Times New Roman" w:cs="Times New Roman"/>
                <w:szCs w:val="18"/>
              </w:rPr>
            </w:pPr>
          </w:p>
        </w:tc>
        <w:tc>
          <w:tcPr>
            <w:tcW w:w="3895" w:type="dxa"/>
            <w:tcBorders>
              <w:top w:val="nil"/>
              <w:left w:val="nil"/>
              <w:bottom w:val="nil"/>
              <w:right w:val="nil"/>
            </w:tcBorders>
          </w:tcPr>
          <w:p w14:paraId="6BC451ED" w14:textId="39B11ACB" w:rsidR="00495ADE" w:rsidRPr="00AA07B7" w:rsidRDefault="00495ADE" w:rsidP="00FA4D14">
            <w:pPr>
              <w:spacing w:after="120" w:line="259" w:lineRule="auto"/>
              <w:contextualSpacing/>
              <w:jc w:val="both"/>
              <w:rPr>
                <w:rFonts w:ascii="Times New Roman" w:hAnsi="Times New Roman" w:cs="Times New Roman"/>
                <w:szCs w:val="18"/>
              </w:rPr>
            </w:pPr>
            <w:r w:rsidRPr="00AA07B7">
              <w:rPr>
                <w:rFonts w:ascii="Times New Roman" w:hAnsi="Times New Roman" w:cs="Times New Roman"/>
                <w:szCs w:val="18"/>
              </w:rPr>
              <w:t>20.1 In the cases foreseen in Article 19.1, if the any of the Parties believes that this Contract can no longer be executed effectively or appropriately, it shall duly consult the other Party. Failing to identify a solution, the Sub-grantor and the Sub-</w:t>
            </w:r>
            <w:r w:rsidRPr="00AA07B7">
              <w:rPr>
                <w:rFonts w:ascii="Times New Roman" w:hAnsi="Times New Roman" w:cs="Times New Roman"/>
                <w:szCs w:val="18"/>
              </w:rPr>
              <w:lastRenderedPageBreak/>
              <w:t>Grantee may terminate this Sub-Grant contract.</w:t>
            </w:r>
          </w:p>
          <w:p w14:paraId="5E819526" w14:textId="16F80835" w:rsidR="00495ADE" w:rsidRPr="00AA07B7" w:rsidRDefault="00495ADE" w:rsidP="008E7FA9">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szCs w:val="18"/>
              </w:rPr>
              <w:t xml:space="preserve">Failing agreement on a solution, the </w:t>
            </w:r>
            <w:r w:rsidRPr="000941D1">
              <w:rPr>
                <w:rFonts w:ascii="Times New Roman" w:hAnsi="Times New Roman" w:cs="Times New Roman"/>
                <w:bCs/>
              </w:rPr>
              <w:t xml:space="preserve">Sub-Grantee </w:t>
            </w:r>
            <w:r w:rsidRPr="00AA07B7">
              <w:rPr>
                <w:rFonts w:ascii="Times New Roman" w:hAnsi="Times New Roman" w:cs="Times New Roman"/>
                <w:szCs w:val="18"/>
              </w:rPr>
              <w:t>or the Sub-grantor may terminate this contract by serving two months written notice, without being required to pay indemnity</w:t>
            </w:r>
            <w:r w:rsidRPr="00AA07B7">
              <w:rPr>
                <w:rFonts w:ascii="Times New Roman" w:hAnsi="Times New Roman" w:cs="Times New Roman"/>
              </w:rPr>
              <w:t>.</w:t>
            </w:r>
          </w:p>
        </w:tc>
      </w:tr>
      <w:tr w:rsidR="00495ADE" w:rsidRPr="00717728" w14:paraId="30D2201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020C33E" w14:textId="37784B25" w:rsidR="00495ADE" w:rsidRPr="000941D1" w:rsidRDefault="00495ADE" w:rsidP="008E7FA9">
            <w:pPr>
              <w:tabs>
                <w:tab w:val="left" w:pos="4536"/>
              </w:tabs>
              <w:spacing w:after="120" w:line="259" w:lineRule="auto"/>
              <w:contextualSpacing/>
              <w:jc w:val="both"/>
              <w:rPr>
                <w:rFonts w:ascii="Times New Roman" w:eastAsiaTheme="minorHAnsi" w:hAnsi="Times New Roman" w:cs="Times New Roman"/>
              </w:rPr>
            </w:pPr>
            <w:r w:rsidRPr="00AA07B7">
              <w:rPr>
                <w:rFonts w:ascii="Times New Roman" w:hAnsi="Times New Roman" w:cs="Times New Roman"/>
                <w:szCs w:val="18"/>
              </w:rPr>
              <w:lastRenderedPageBreak/>
              <w:t>20.2 Առանց 20.1-ին հոդվածին նախապաշարմունքի հետևյալ հանգամանքների ներքո Ենթադրամաշնորհատուն կարող է լուծել Պայմանագիրը առանց նրա կողմից որևէ հատուցման, երբ՝</w:t>
            </w:r>
          </w:p>
        </w:tc>
        <w:tc>
          <w:tcPr>
            <w:tcW w:w="333" w:type="dxa"/>
            <w:gridSpan w:val="2"/>
            <w:tcBorders>
              <w:top w:val="nil"/>
              <w:left w:val="nil"/>
              <w:bottom w:val="nil"/>
              <w:right w:val="nil"/>
            </w:tcBorders>
          </w:tcPr>
          <w:p w14:paraId="5B66FDAB" w14:textId="77777777" w:rsidR="00495ADE" w:rsidRPr="00AA07B7" w:rsidRDefault="00495ADE" w:rsidP="00FA4D14">
            <w:pPr>
              <w:tabs>
                <w:tab w:val="left" w:pos="6237"/>
              </w:tabs>
              <w:spacing w:before="60" w:after="60" w:line="240" w:lineRule="auto"/>
              <w:jc w:val="both"/>
              <w:rPr>
                <w:rFonts w:ascii="Times New Roman" w:hAnsi="Times New Roman" w:cs="Times New Roman"/>
                <w:szCs w:val="18"/>
              </w:rPr>
            </w:pPr>
          </w:p>
        </w:tc>
        <w:tc>
          <w:tcPr>
            <w:tcW w:w="3895" w:type="dxa"/>
            <w:tcBorders>
              <w:top w:val="nil"/>
              <w:left w:val="nil"/>
              <w:bottom w:val="nil"/>
              <w:right w:val="nil"/>
            </w:tcBorders>
          </w:tcPr>
          <w:p w14:paraId="73EEF24B" w14:textId="55ACA5F1" w:rsidR="00495ADE" w:rsidRPr="00AA07B7" w:rsidRDefault="00495ADE" w:rsidP="00FA4D14">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szCs w:val="18"/>
              </w:rPr>
              <w:t xml:space="preserve">20.2 </w:t>
            </w:r>
            <w:r w:rsidRPr="00AA07B7">
              <w:rPr>
                <w:rFonts w:ascii="Times New Roman" w:hAnsi="Times New Roman" w:cs="Times New Roman"/>
              </w:rPr>
              <w:t>Without prejudice to Article 20.1, in the following circumstances the Sub-grantor may terminate this Contract without any indemnity on its part when:</w:t>
            </w:r>
          </w:p>
        </w:tc>
      </w:tr>
      <w:tr w:rsidR="00495ADE" w:rsidRPr="00717728" w14:paraId="7D3FBA5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905B7F4" w14:textId="107D7858" w:rsidR="00495ADE" w:rsidRPr="00AA07B7" w:rsidRDefault="00495ADE" w:rsidP="000941D1">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rPr>
            </w:pPr>
            <w:r w:rsidRPr="00AA07B7">
              <w:rPr>
                <w:rFonts w:ascii="Times New Roman" w:eastAsiaTheme="minorHAnsi" w:hAnsi="Times New Roman" w:cs="Times New Roman"/>
              </w:rPr>
              <w:t xml:space="preserve">Ենթադրամաշնորհատուն ունի ապացույց առ այն, որ </w:t>
            </w:r>
            <w:r w:rsidRPr="000941D1">
              <w:rPr>
                <w:rFonts w:ascii="Times New Roman" w:hAnsi="Times New Roman" w:cs="Times New Roman"/>
                <w:b/>
              </w:rPr>
              <w:t xml:space="preserve">Ենթադրամաշնորհառուն </w:t>
            </w:r>
            <w:r w:rsidRPr="00AA07B7">
              <w:rPr>
                <w:rFonts w:ascii="Times New Roman" w:eastAsiaTheme="minorHAnsi" w:hAnsi="Times New Roman" w:cs="Times New Roman"/>
              </w:rPr>
              <w:t>կամ նրա հետ առնչություն ունեցող այլ սուբյեկտ կամ անձ կատարել է պարտավորությունների, կանոնների խախտումներ կամ խարդախություններ ենթադրամաշնորհի շնորհման կամ դրա աշխատանքների իրականացման ընթացքում,</w:t>
            </w:r>
          </w:p>
          <w:p w14:paraId="7D9A0651" w14:textId="5DA30BA6" w:rsidR="00495ADE" w:rsidRPr="000941D1" w:rsidRDefault="00495ADE" w:rsidP="00D717BC">
            <w:pPr>
              <w:autoSpaceDE w:val="0"/>
              <w:autoSpaceDN w:val="0"/>
              <w:adjustRightInd w:val="0"/>
              <w:spacing w:after="120" w:line="259" w:lineRule="auto"/>
              <w:jc w:val="both"/>
              <w:rPr>
                <w:rFonts w:ascii="Times New Roman" w:eastAsiaTheme="minorHAnsi" w:hAnsi="Times New Roman" w:cs="Times New Roman"/>
              </w:rPr>
            </w:pPr>
          </w:p>
        </w:tc>
        <w:tc>
          <w:tcPr>
            <w:tcW w:w="333" w:type="dxa"/>
            <w:gridSpan w:val="2"/>
            <w:tcBorders>
              <w:top w:val="nil"/>
              <w:left w:val="nil"/>
              <w:bottom w:val="nil"/>
              <w:right w:val="nil"/>
            </w:tcBorders>
          </w:tcPr>
          <w:p w14:paraId="3FEC5057" w14:textId="77777777" w:rsidR="00495ADE" w:rsidRPr="00AA07B7" w:rsidRDefault="00495ADE" w:rsidP="000941D1">
            <w:pPr>
              <w:pStyle w:val="ListParagraph"/>
              <w:numPr>
                <w:ilvl w:val="0"/>
                <w:numId w:val="19"/>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18F15467" w14:textId="65C3080F" w:rsidR="00495ADE" w:rsidRPr="00AA07B7" w:rsidRDefault="00495ADE" w:rsidP="000941D1">
            <w:pPr>
              <w:pStyle w:val="ListParagraph"/>
              <w:numPr>
                <w:ilvl w:val="0"/>
                <w:numId w:val="43"/>
              </w:numPr>
              <w:tabs>
                <w:tab w:val="left" w:pos="6237"/>
              </w:tabs>
              <w:spacing w:before="60" w:after="60" w:line="240" w:lineRule="auto"/>
              <w:jc w:val="both"/>
              <w:rPr>
                <w:rFonts w:ascii="Times New Roman" w:hAnsi="Times New Roman" w:cs="Times New Roman"/>
              </w:rPr>
            </w:pPr>
            <w:r w:rsidRPr="00AA07B7">
              <w:rPr>
                <w:rFonts w:ascii="Times New Roman" w:eastAsiaTheme="minorHAnsi" w:hAnsi="Times New Roman" w:cs="Times New Roman"/>
              </w:rPr>
              <w:t xml:space="preserve">the Sub-grantor has evidence that the </w:t>
            </w:r>
            <w:r w:rsidRPr="000941D1">
              <w:rPr>
                <w:rFonts w:ascii="Times New Roman" w:hAnsi="Times New Roman" w:cs="Times New Roman"/>
                <w:bCs/>
              </w:rPr>
              <w:t>Sub-Grantee</w:t>
            </w:r>
            <w:r w:rsidRPr="00AA07B7">
              <w:rPr>
                <w:rFonts w:ascii="Times New Roman" w:eastAsiaTheme="minorHAnsi" w:hAnsi="Times New Roman" w:cs="Times New Roman"/>
              </w:rPr>
              <w:t>, or any related entity or person, has committed breach of obligations, irregularities or fraud in the award procedure or in the implementation of the Sub-Grant;</w:t>
            </w:r>
          </w:p>
        </w:tc>
      </w:tr>
      <w:tr w:rsidR="00495ADE" w:rsidRPr="00717728" w14:paraId="2015293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C5B96AF" w14:textId="187FCEBE" w:rsidR="00495ADE" w:rsidRPr="00AA07B7" w:rsidRDefault="00495ADE" w:rsidP="000941D1">
            <w:pPr>
              <w:pStyle w:val="ListParagraph"/>
              <w:numPr>
                <w:ilvl w:val="0"/>
                <w:numId w:val="10"/>
              </w:numPr>
              <w:autoSpaceDE w:val="0"/>
              <w:autoSpaceDN w:val="0"/>
              <w:adjustRightInd w:val="0"/>
              <w:spacing w:after="120" w:line="259" w:lineRule="auto"/>
              <w:jc w:val="both"/>
              <w:rPr>
                <w:rFonts w:ascii="Times New Roman" w:hAnsi="Times New Roman" w:cs="Times New Roman"/>
                <w:b/>
              </w:rPr>
            </w:pPr>
            <w:r w:rsidRPr="000941D1">
              <w:rPr>
                <w:rFonts w:ascii="Times New Roman" w:hAnsi="Times New Roman" w:cs="Times New Roman"/>
                <w:bCs/>
              </w:rPr>
              <w:t xml:space="preserve">Ենթադրամաշնորհառուն </w:t>
            </w:r>
            <w:r w:rsidRPr="00AA07B7">
              <w:rPr>
                <w:rFonts w:ascii="Times New Roman" w:eastAsiaTheme="minorHAnsi" w:hAnsi="Times New Roman" w:cs="Times New Roman"/>
              </w:rPr>
              <w:t>մեղավոր է դրամաշնորհի շնորհման կամ Գործողության իրականացման ընթացքում պահանջվող տեղեկատվության թյուր ներկայացման համար կամ սահմանված ժամկետում չի տրամադրել Ենթադրամաշնորհատուի կողմից պահանջվող տեղեկատվությունը, որը վերաբերում է Գործողությանը,</w:t>
            </w:r>
          </w:p>
        </w:tc>
        <w:tc>
          <w:tcPr>
            <w:tcW w:w="333" w:type="dxa"/>
            <w:gridSpan w:val="2"/>
            <w:tcBorders>
              <w:top w:val="nil"/>
              <w:left w:val="nil"/>
              <w:bottom w:val="nil"/>
              <w:right w:val="nil"/>
            </w:tcBorders>
          </w:tcPr>
          <w:p w14:paraId="1FC73123" w14:textId="77777777" w:rsidR="00495ADE" w:rsidRPr="00AA07B7" w:rsidRDefault="00495ADE" w:rsidP="000941D1">
            <w:pPr>
              <w:pStyle w:val="ListParagraph"/>
              <w:numPr>
                <w:ilvl w:val="0"/>
                <w:numId w:val="43"/>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0B08CC4" w14:textId="60E166F5" w:rsidR="00495ADE" w:rsidRPr="00AA07B7" w:rsidRDefault="00495ADE" w:rsidP="000941D1">
            <w:pPr>
              <w:pStyle w:val="ListParagraph"/>
              <w:numPr>
                <w:ilvl w:val="0"/>
                <w:numId w:val="44"/>
              </w:numPr>
              <w:tabs>
                <w:tab w:val="left" w:pos="6237"/>
              </w:tabs>
              <w:spacing w:before="60" w:after="60" w:line="240" w:lineRule="auto"/>
              <w:jc w:val="both"/>
              <w:rPr>
                <w:rFonts w:ascii="Times New Roman" w:hAnsi="Times New Roman" w:cs="Times New Roman"/>
                <w:b/>
              </w:rPr>
            </w:pPr>
            <w:r w:rsidRPr="00AA07B7">
              <w:rPr>
                <w:rFonts w:ascii="Times New Roman" w:eastAsiaTheme="minorHAnsi" w:hAnsi="Times New Roman" w:cs="Times New Roman"/>
              </w:rPr>
              <w:t xml:space="preserve">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is guilty of misrepresentation in supplying the information required in the award procedure or in the implementation of the Action – or fails to supply within the deadlines set under this Contract - any information related to the Action required by the Sub-grantor;</w:t>
            </w:r>
          </w:p>
        </w:tc>
      </w:tr>
      <w:tr w:rsidR="00495ADE" w:rsidRPr="00717728" w14:paraId="2524E07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842D206" w14:textId="297960DF" w:rsidR="00495ADE" w:rsidRPr="00AA07B7" w:rsidRDefault="00495ADE" w:rsidP="00D644F1">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szCs w:val="18"/>
              </w:rPr>
            </w:pPr>
            <w:r w:rsidRPr="000941D1">
              <w:rPr>
                <w:rFonts w:ascii="Times New Roman" w:hAnsi="Times New Roman" w:cs="Times New Roman"/>
                <w:bCs/>
              </w:rPr>
              <w:t xml:space="preserve">Ենթադրամաշնորհառուն </w:t>
            </w:r>
            <w:r w:rsidRPr="00AA07B7">
              <w:rPr>
                <w:rFonts w:ascii="Times New Roman" w:eastAsiaTheme="minorHAnsi" w:hAnsi="Times New Roman" w:cs="Times New Roman"/>
              </w:rPr>
              <w:t>առանց հիմնավորման չի կատարում Պայմանագրով սահմանված որևէ էական պարտավորություն և այդ պարտավորությունների կատարման մասին գրավոր ծանուցում ստանալուց հետո շարունակում է դրանք չկատարել կամ ծանուցումն ստանալուց հետո 10 օրվա ընթացքում չի տրամադրում բավարար բացատրություն,</w:t>
            </w:r>
          </w:p>
        </w:tc>
        <w:tc>
          <w:tcPr>
            <w:tcW w:w="333" w:type="dxa"/>
            <w:gridSpan w:val="2"/>
            <w:tcBorders>
              <w:top w:val="nil"/>
              <w:left w:val="nil"/>
              <w:bottom w:val="nil"/>
              <w:right w:val="nil"/>
            </w:tcBorders>
          </w:tcPr>
          <w:p w14:paraId="2CAA25E1" w14:textId="77777777" w:rsidR="00495ADE" w:rsidRPr="00AA07B7" w:rsidRDefault="00495ADE" w:rsidP="00D644F1">
            <w:pPr>
              <w:pStyle w:val="ListParagraph"/>
              <w:numPr>
                <w:ilvl w:val="0"/>
                <w:numId w:val="44"/>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767FEFF1" w14:textId="23384847" w:rsidR="00495ADE" w:rsidRPr="00AA07B7" w:rsidRDefault="00495ADE" w:rsidP="00D644F1">
            <w:pPr>
              <w:pStyle w:val="ListParagraph"/>
              <w:numPr>
                <w:ilvl w:val="0"/>
                <w:numId w:val="45"/>
              </w:numPr>
              <w:tabs>
                <w:tab w:val="left" w:pos="6237"/>
              </w:tabs>
              <w:spacing w:before="60" w:after="60" w:line="240" w:lineRule="auto"/>
              <w:jc w:val="both"/>
              <w:rPr>
                <w:rFonts w:ascii="Times New Roman" w:hAnsi="Times New Roman" w:cs="Times New Roman"/>
              </w:rPr>
            </w:pPr>
            <w:r w:rsidRPr="00AA07B7">
              <w:rPr>
                <w:rFonts w:ascii="Times New Roman" w:eastAsiaTheme="minorHAnsi" w:hAnsi="Times New Roman" w:cs="Times New Roman"/>
              </w:rPr>
              <w:t xml:space="preserve">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fails, without justification, to fulfil any substantial obligation as per Contract and, after being given notice by letter to comply with those obligations, still fails to do so or to furnish a satisfactory explanation within 10 days of receipt of the letter;</w:t>
            </w:r>
          </w:p>
        </w:tc>
      </w:tr>
      <w:tr w:rsidR="00495ADE" w:rsidRPr="00717728" w14:paraId="7579E7E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6DBDCFC" w14:textId="01B03B86" w:rsidR="00495ADE" w:rsidRPr="00AA07B7" w:rsidRDefault="00495ADE" w:rsidP="000941D1">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szCs w:val="18"/>
              </w:rPr>
            </w:pPr>
            <w:r w:rsidRPr="00AA07B7">
              <w:rPr>
                <w:rFonts w:ascii="Times New Roman" w:eastAsiaTheme="minorHAnsi" w:hAnsi="Times New Roman" w:cs="Times New Roman"/>
              </w:rPr>
              <w:t xml:space="preserve">Ենթադրամաշնորհատուն ունի ապացույց առ այն, որ </w:t>
            </w:r>
            <w:r w:rsidRPr="000941D1">
              <w:rPr>
                <w:rFonts w:ascii="Times New Roman" w:hAnsi="Times New Roman" w:cs="Times New Roman"/>
                <w:bCs/>
              </w:rPr>
              <w:t xml:space="preserve">Ենթադրամաշնորհառու </w:t>
            </w:r>
            <w:r w:rsidRPr="00AA07B7">
              <w:rPr>
                <w:rFonts w:ascii="Times New Roman" w:eastAsiaTheme="minorHAnsi" w:hAnsi="Times New Roman" w:cs="Times New Roman"/>
              </w:rPr>
              <w:t>ունի շահերի բախում,</w:t>
            </w:r>
          </w:p>
        </w:tc>
        <w:tc>
          <w:tcPr>
            <w:tcW w:w="333" w:type="dxa"/>
            <w:gridSpan w:val="2"/>
            <w:tcBorders>
              <w:top w:val="nil"/>
              <w:left w:val="nil"/>
              <w:bottom w:val="nil"/>
              <w:right w:val="nil"/>
            </w:tcBorders>
          </w:tcPr>
          <w:p w14:paraId="2BAA39E6" w14:textId="77777777" w:rsidR="00495ADE" w:rsidRPr="00AA07B7" w:rsidRDefault="00495ADE" w:rsidP="000941D1">
            <w:pPr>
              <w:pStyle w:val="ListParagraph"/>
              <w:numPr>
                <w:ilvl w:val="0"/>
                <w:numId w:val="45"/>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BB97993" w14:textId="18729C06" w:rsidR="00495ADE" w:rsidRPr="00AA07B7" w:rsidRDefault="00495ADE" w:rsidP="00D644F1">
            <w:pPr>
              <w:pStyle w:val="ListParagraph"/>
              <w:numPr>
                <w:ilvl w:val="0"/>
                <w:numId w:val="46"/>
              </w:numPr>
              <w:tabs>
                <w:tab w:val="left" w:pos="6237"/>
              </w:tabs>
              <w:spacing w:before="60" w:after="60" w:line="240" w:lineRule="auto"/>
              <w:jc w:val="both"/>
              <w:rPr>
                <w:rFonts w:ascii="Times New Roman" w:hAnsi="Times New Roman" w:cs="Times New Roman"/>
              </w:rPr>
            </w:pPr>
            <w:r w:rsidRPr="00AA07B7">
              <w:rPr>
                <w:rFonts w:ascii="Times New Roman" w:eastAsiaTheme="minorHAnsi" w:hAnsi="Times New Roman" w:cs="Times New Roman"/>
              </w:rPr>
              <w:t xml:space="preserve">the Sub-grantor has evidence that 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is subject to a conflict of interests;</w:t>
            </w:r>
          </w:p>
        </w:tc>
      </w:tr>
      <w:tr w:rsidR="00495ADE" w:rsidRPr="00717728" w14:paraId="673DB4E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5C1F11B7" w14:textId="224E09DC" w:rsidR="00495ADE" w:rsidRPr="00AA07B7" w:rsidRDefault="00495ADE" w:rsidP="00D644F1">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szCs w:val="18"/>
              </w:rPr>
            </w:pPr>
            <w:r w:rsidRPr="000941D1">
              <w:rPr>
                <w:rFonts w:ascii="Times New Roman" w:hAnsi="Times New Roman" w:cs="Times New Roman"/>
                <w:bCs/>
              </w:rPr>
              <w:t xml:space="preserve">Ենթադրամաշնորհառուն </w:t>
            </w:r>
            <w:r w:rsidRPr="00AA07B7">
              <w:rPr>
                <w:rFonts w:ascii="Times New Roman" w:eastAsiaTheme="minorHAnsi" w:hAnsi="Times New Roman" w:cs="Times New Roman"/>
              </w:rPr>
              <w:t>իրավական,  ֆինանսական, տեխնիկական, կազմակերպական կամ սեփականությանն առնչվող իրվաճակում առաջացել է որևէ փոփոխություն, որն ազդում է Պայմանագրի կատարման վրա կամ կասկածի տակ է դնում դրամաշնորհի շնորհման որոշումը,</w:t>
            </w:r>
          </w:p>
        </w:tc>
        <w:tc>
          <w:tcPr>
            <w:tcW w:w="333" w:type="dxa"/>
            <w:gridSpan w:val="2"/>
            <w:tcBorders>
              <w:top w:val="nil"/>
              <w:left w:val="nil"/>
              <w:bottom w:val="nil"/>
              <w:right w:val="nil"/>
            </w:tcBorders>
          </w:tcPr>
          <w:p w14:paraId="7CC64598" w14:textId="77777777" w:rsidR="00495ADE" w:rsidRPr="00AA07B7" w:rsidRDefault="00495ADE" w:rsidP="00D644F1">
            <w:pPr>
              <w:pStyle w:val="ListParagraph"/>
              <w:numPr>
                <w:ilvl w:val="0"/>
                <w:numId w:val="46"/>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2EF77B30" w14:textId="3B54110B" w:rsidR="00495ADE" w:rsidRPr="00AA07B7" w:rsidRDefault="00495ADE" w:rsidP="00D644F1">
            <w:pPr>
              <w:pStyle w:val="ListParagraph"/>
              <w:numPr>
                <w:ilvl w:val="0"/>
                <w:numId w:val="47"/>
              </w:numPr>
              <w:tabs>
                <w:tab w:val="left" w:pos="6237"/>
              </w:tabs>
              <w:spacing w:before="60" w:after="60" w:line="240" w:lineRule="auto"/>
              <w:jc w:val="both"/>
              <w:rPr>
                <w:rFonts w:ascii="Times New Roman" w:hAnsi="Times New Roman" w:cs="Times New Roman"/>
                <w:b/>
                <w:bCs/>
              </w:rPr>
            </w:pPr>
            <w:r w:rsidRPr="00AA07B7">
              <w:rPr>
                <w:rFonts w:ascii="Times New Roman" w:eastAsiaTheme="minorHAnsi" w:hAnsi="Times New Roman" w:cs="Times New Roman"/>
              </w:rPr>
              <w:t xml:space="preserve">a change occurred to </w:t>
            </w:r>
            <w:r w:rsidRPr="000941D1">
              <w:rPr>
                <w:rFonts w:ascii="Times New Roman" w:hAnsi="Times New Roman" w:cs="Times New Roman"/>
                <w:bCs/>
              </w:rPr>
              <w:t xml:space="preserve">Sub-Grantee’s </w:t>
            </w:r>
            <w:r w:rsidRPr="00AA07B7">
              <w:rPr>
                <w:rFonts w:ascii="Times New Roman" w:eastAsiaTheme="minorHAnsi" w:hAnsi="Times New Roman" w:cs="Times New Roman"/>
              </w:rPr>
              <w:t>legal, financial, technical, organisational or ownership situation substantially that affects the implementation of this contract or calls into question the decision awarding the grant;</w:t>
            </w:r>
          </w:p>
        </w:tc>
      </w:tr>
      <w:tr w:rsidR="00495ADE" w:rsidRPr="00717728" w14:paraId="4803543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CCCBB7A" w14:textId="78BA2CCA" w:rsidR="00495ADE" w:rsidRPr="00AA07B7" w:rsidRDefault="00495ADE" w:rsidP="000941D1">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szCs w:val="18"/>
              </w:rPr>
            </w:pPr>
            <w:r w:rsidRPr="000941D1">
              <w:rPr>
                <w:rFonts w:ascii="Times New Roman" w:hAnsi="Times New Roman" w:cs="Times New Roman"/>
                <w:bCs/>
              </w:rPr>
              <w:t>Ենթադրամաշնորհառուն</w:t>
            </w:r>
            <w:r w:rsidR="00B20651" w:rsidRPr="000941D1">
              <w:rPr>
                <w:rFonts w:ascii="Times New Roman" w:hAnsi="Times New Roman" w:cs="Times New Roman"/>
                <w:bCs/>
              </w:rPr>
              <w:t xml:space="preserve"> չի</w:t>
            </w:r>
            <w:r w:rsidRPr="00AA07B7">
              <w:rPr>
                <w:rFonts w:ascii="Times New Roman" w:eastAsiaTheme="minorHAnsi" w:hAnsi="Times New Roman" w:cs="Times New Roman"/>
              </w:rPr>
              <w:t xml:space="preserve"> ծանուցում իրենց իրավական կարգավիճակի կամ իրենց գտնվելուփաստացի վայրի փոփոխության մասին </w:t>
            </w:r>
            <w:r w:rsidRPr="00AA07B7">
              <w:rPr>
                <w:rFonts w:ascii="Times New Roman" w:hAnsi="Times New Roman" w:cs="Times New Roman"/>
              </w:rPr>
              <w:t xml:space="preserve">11.5-րդ  հոդվածով </w:t>
            </w:r>
            <w:r w:rsidRPr="00AA07B7">
              <w:rPr>
                <w:rFonts w:ascii="Times New Roman" w:eastAsiaTheme="minorHAnsi" w:hAnsi="Times New Roman" w:cs="Times New Roman"/>
              </w:rPr>
              <w:t>սահմանված կարգով</w:t>
            </w:r>
            <w:r w:rsidRPr="00AA07B7">
              <w:rPr>
                <w:rFonts w:ascii="Times New Roman" w:hAnsi="Times New Roman" w:cs="Times New Roman"/>
              </w:rPr>
              <w:t xml:space="preserve">, </w:t>
            </w:r>
          </w:p>
        </w:tc>
        <w:tc>
          <w:tcPr>
            <w:tcW w:w="333" w:type="dxa"/>
            <w:gridSpan w:val="2"/>
            <w:tcBorders>
              <w:top w:val="nil"/>
              <w:left w:val="nil"/>
              <w:bottom w:val="nil"/>
              <w:right w:val="nil"/>
            </w:tcBorders>
          </w:tcPr>
          <w:p w14:paraId="18636E82" w14:textId="77777777" w:rsidR="00495ADE" w:rsidRPr="00AA07B7" w:rsidRDefault="00495ADE" w:rsidP="000941D1">
            <w:pPr>
              <w:pStyle w:val="ListParagraph"/>
              <w:numPr>
                <w:ilvl w:val="0"/>
                <w:numId w:val="47"/>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2540F4FD" w14:textId="259DEF55" w:rsidR="00495ADE" w:rsidRPr="00AA07B7" w:rsidRDefault="00495ADE" w:rsidP="00D644F1">
            <w:pPr>
              <w:pStyle w:val="ListParagraph"/>
              <w:numPr>
                <w:ilvl w:val="0"/>
                <w:numId w:val="48"/>
              </w:numPr>
              <w:tabs>
                <w:tab w:val="left" w:pos="6237"/>
              </w:tabs>
              <w:spacing w:before="60" w:after="60" w:line="240" w:lineRule="auto"/>
              <w:jc w:val="both"/>
              <w:rPr>
                <w:rFonts w:ascii="Times New Roman" w:hAnsi="Times New Roman" w:cs="Times New Roman"/>
                <w:spacing w:val="-2"/>
              </w:rPr>
            </w:pPr>
            <w:r w:rsidRPr="00AA07B7">
              <w:rPr>
                <w:rFonts w:ascii="Times New Roman" w:eastAsiaTheme="minorHAnsi" w:hAnsi="Times New Roman" w:cs="Times New Roman"/>
              </w:rPr>
              <w:t xml:space="preserve">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 xml:space="preserve">fails to notify </w:t>
            </w:r>
            <w:r w:rsidRPr="00AA07B7">
              <w:rPr>
                <w:rFonts w:ascii="Times New Roman" w:hAnsi="Times New Roman" w:cs="Times New Roman"/>
              </w:rPr>
              <w:t>any change to its legal status or the actual locations of its premises in compliance with Article 11.5;</w:t>
            </w:r>
          </w:p>
        </w:tc>
      </w:tr>
      <w:tr w:rsidR="00495ADE" w:rsidRPr="00717728" w14:paraId="00EF470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D6B0017" w14:textId="6F57AA7A" w:rsidR="00495ADE" w:rsidRPr="000941D1" w:rsidRDefault="00495ADE">
            <w:pPr>
              <w:pStyle w:val="ListParagraph"/>
              <w:numPr>
                <w:ilvl w:val="0"/>
                <w:numId w:val="10"/>
              </w:numPr>
              <w:autoSpaceDE w:val="0"/>
              <w:autoSpaceDN w:val="0"/>
              <w:adjustRightInd w:val="0"/>
              <w:spacing w:after="120" w:line="259" w:lineRule="auto"/>
              <w:jc w:val="both"/>
              <w:rPr>
                <w:rFonts w:ascii="Times New Roman" w:hAnsi="Times New Roman" w:cs="Times New Roman"/>
                <w:b/>
              </w:rPr>
            </w:pPr>
            <w:r w:rsidRPr="000941D1">
              <w:rPr>
                <w:rFonts w:ascii="Times New Roman" w:hAnsi="Times New Roman" w:cs="Times New Roman"/>
                <w:bCs/>
              </w:rPr>
              <w:lastRenderedPageBreak/>
              <w:t>Ենթադրամաշնորհառուն</w:t>
            </w:r>
            <w:r w:rsidR="00B20651" w:rsidRPr="000941D1">
              <w:rPr>
                <w:rFonts w:ascii="Times New Roman" w:hAnsi="Times New Roman" w:cs="Times New Roman"/>
                <w:bCs/>
              </w:rPr>
              <w:t xml:space="preserve"> </w:t>
            </w:r>
            <w:r w:rsidRPr="00AA07B7">
              <w:rPr>
                <w:rFonts w:ascii="Times New Roman" w:eastAsiaTheme="minorHAnsi" w:hAnsi="Times New Roman" w:cs="Times New Roman"/>
              </w:rPr>
              <w:t xml:space="preserve">սնանկ </w:t>
            </w:r>
            <w:r w:rsidR="00B20651" w:rsidRPr="00AA07B7">
              <w:rPr>
                <w:rFonts w:ascii="Times New Roman" w:eastAsiaTheme="minorHAnsi" w:hAnsi="Times New Roman" w:cs="Times New Roman"/>
              </w:rPr>
              <w:t>է</w:t>
            </w:r>
            <w:r w:rsidRPr="00AA07B7">
              <w:rPr>
                <w:rFonts w:ascii="Times New Roman" w:eastAsiaTheme="minorHAnsi" w:hAnsi="Times New Roman" w:cs="Times New Roman"/>
              </w:rPr>
              <w:t>,  անվճարունակ է կամ գտնվում է լուծարման գործընթացում , իր ակտիվները հանձնված են լուծարային հանձնաժողովի կամ դատարանների կառավարմանը, պայմանավորվածություն է ձեռք բերել վարկատուների հետ, կասեցրել է բիզնես գործունեությունը կամ գտնվում է համանման գործընթացում, որը բխում է ցանկացած ներպետական օրենքով կամ կանոնակարգով նախատեսված նմանատիպ ընթացակարգից,</w:t>
            </w:r>
          </w:p>
        </w:tc>
        <w:tc>
          <w:tcPr>
            <w:tcW w:w="333" w:type="dxa"/>
            <w:gridSpan w:val="2"/>
            <w:tcBorders>
              <w:top w:val="nil"/>
              <w:left w:val="nil"/>
              <w:bottom w:val="nil"/>
              <w:right w:val="nil"/>
            </w:tcBorders>
          </w:tcPr>
          <w:p w14:paraId="5C8983D9" w14:textId="77777777" w:rsidR="00495ADE" w:rsidRPr="00AA07B7" w:rsidRDefault="00495ADE" w:rsidP="00214ED5">
            <w:pPr>
              <w:pStyle w:val="ListParagraph"/>
              <w:numPr>
                <w:ilvl w:val="0"/>
                <w:numId w:val="48"/>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CEF3C75" w14:textId="11AD4939" w:rsidR="00495ADE" w:rsidRPr="00AA07B7" w:rsidRDefault="00495ADE" w:rsidP="00214ED5">
            <w:pPr>
              <w:pStyle w:val="ListParagraph"/>
              <w:numPr>
                <w:ilvl w:val="0"/>
                <w:numId w:val="49"/>
              </w:numPr>
              <w:tabs>
                <w:tab w:val="left" w:pos="6237"/>
              </w:tabs>
              <w:spacing w:before="60" w:after="60" w:line="240" w:lineRule="auto"/>
              <w:jc w:val="both"/>
              <w:rPr>
                <w:rFonts w:ascii="Times New Roman" w:hAnsi="Times New Roman" w:cs="Times New Roman"/>
                <w:b/>
                <w:bCs/>
                <w:spacing w:val="-2"/>
              </w:rPr>
            </w:pPr>
            <w:r w:rsidRPr="00AA07B7">
              <w:rPr>
                <w:rFonts w:ascii="Times New Roman" w:hAnsi="Times New Roman" w:cs="Times New Roman"/>
              </w:rPr>
              <w:t xml:space="preserve">the </w:t>
            </w:r>
            <w:r w:rsidRPr="000941D1">
              <w:rPr>
                <w:rFonts w:ascii="Times New Roman" w:hAnsi="Times New Roman" w:cs="Times New Roman"/>
                <w:bCs/>
              </w:rPr>
              <w:t xml:space="preserve">Sub-Grantee </w:t>
            </w:r>
            <w:r w:rsidRPr="00AA07B7">
              <w:rPr>
                <w:rFonts w:ascii="Times New Roman" w:hAnsi="Times New Roman" w:cs="Times New Roman"/>
              </w:rPr>
              <w:t xml:space="preserve">is </w:t>
            </w:r>
            <w:r w:rsidRPr="00AA07B7">
              <w:rPr>
                <w:rFonts w:ascii="Times New Roman" w:eastAsiaTheme="minorHAnsi" w:hAnsi="Times New Roman" w:cs="Times New Roman"/>
              </w:rPr>
              <w:t>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w:t>
            </w:r>
          </w:p>
        </w:tc>
      </w:tr>
      <w:tr w:rsidR="00495ADE" w:rsidRPr="00717728" w14:paraId="38B977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9EE782A" w14:textId="0D8CB1B2" w:rsidR="00495ADE" w:rsidRPr="00AA07B7" w:rsidRDefault="00495ADE" w:rsidP="00214ED5">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szCs w:val="18"/>
              </w:rPr>
            </w:pPr>
            <w:r w:rsidRPr="000941D1">
              <w:rPr>
                <w:rFonts w:ascii="Times New Roman" w:hAnsi="Times New Roman" w:cs="Times New Roman"/>
                <w:bCs/>
              </w:rPr>
              <w:t>Ենթադրամաշնորհառուն</w:t>
            </w:r>
            <w:r w:rsidR="00B20651" w:rsidRPr="000941D1">
              <w:rPr>
                <w:rFonts w:ascii="Times New Roman" w:hAnsi="Times New Roman" w:cs="Times New Roman"/>
                <w:bCs/>
              </w:rPr>
              <w:t xml:space="preserve"> </w:t>
            </w:r>
            <w:r w:rsidRPr="00AA07B7">
              <w:rPr>
                <w:rFonts w:ascii="Times New Roman" w:eastAsiaTheme="minorHAnsi" w:hAnsi="Times New Roman" w:cs="Times New Roman"/>
              </w:rPr>
              <w:t>դրսևորել է մասնագիտական ընդգծված սխալ վարքագիծ, որն ապացուցվել է ցանկացած եղանակով, որը Ենթադրամաշնորհատուն կարող է հիմնավորել,</w:t>
            </w:r>
          </w:p>
        </w:tc>
        <w:tc>
          <w:tcPr>
            <w:tcW w:w="333" w:type="dxa"/>
            <w:gridSpan w:val="2"/>
            <w:tcBorders>
              <w:top w:val="nil"/>
              <w:left w:val="nil"/>
              <w:bottom w:val="nil"/>
              <w:right w:val="nil"/>
            </w:tcBorders>
          </w:tcPr>
          <w:p w14:paraId="210DFB9E" w14:textId="77777777" w:rsidR="00495ADE" w:rsidRPr="00AA07B7" w:rsidRDefault="00495ADE" w:rsidP="00214ED5">
            <w:pPr>
              <w:pStyle w:val="ListParagraph"/>
              <w:numPr>
                <w:ilvl w:val="0"/>
                <w:numId w:val="49"/>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C84ABA3" w14:textId="7E8A2EC6" w:rsidR="00495ADE" w:rsidRPr="00AA07B7" w:rsidRDefault="00495ADE" w:rsidP="00214ED5">
            <w:pPr>
              <w:pStyle w:val="ListParagraph"/>
              <w:numPr>
                <w:ilvl w:val="0"/>
                <w:numId w:val="50"/>
              </w:numPr>
              <w:tabs>
                <w:tab w:val="left" w:pos="6237"/>
              </w:tabs>
              <w:spacing w:before="60" w:after="60" w:line="240" w:lineRule="auto"/>
              <w:jc w:val="both"/>
              <w:rPr>
                <w:rFonts w:ascii="Times New Roman" w:hAnsi="Times New Roman" w:cs="Times New Roman"/>
                <w:b/>
                <w:bCs/>
              </w:rPr>
            </w:pPr>
            <w:r w:rsidRPr="00AA07B7">
              <w:rPr>
                <w:rFonts w:ascii="Times New Roman" w:hAnsi="Times New Roman" w:cs="Times New Roman"/>
              </w:rPr>
              <w:t xml:space="preserve">the </w:t>
            </w:r>
            <w:r w:rsidRPr="000941D1">
              <w:rPr>
                <w:rFonts w:ascii="Times New Roman" w:hAnsi="Times New Roman" w:cs="Times New Roman"/>
                <w:bCs/>
              </w:rPr>
              <w:t xml:space="preserve">Sub-Grantee </w:t>
            </w:r>
            <w:r w:rsidRPr="00AA07B7">
              <w:rPr>
                <w:rFonts w:ascii="Times New Roman" w:hAnsi="Times New Roman" w:cs="Times New Roman"/>
              </w:rPr>
              <w:t xml:space="preserve">has been found </w:t>
            </w:r>
            <w:r w:rsidRPr="00AA07B7">
              <w:rPr>
                <w:rFonts w:ascii="Times New Roman" w:eastAsiaTheme="minorHAnsi" w:hAnsi="Times New Roman" w:cs="Times New Roman"/>
              </w:rPr>
              <w:t>guilty of grave professional misconduct proven by any means which the Sub-grantor can justify;</w:t>
            </w:r>
          </w:p>
        </w:tc>
      </w:tr>
      <w:tr w:rsidR="00495ADE" w:rsidRPr="00717728" w14:paraId="404B626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4928C311" w14:textId="6E21E7DE" w:rsidR="00495ADE" w:rsidRPr="00AA07B7" w:rsidRDefault="00495ADE">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szCs w:val="18"/>
              </w:rPr>
            </w:pPr>
            <w:r w:rsidRPr="00AA07B7">
              <w:rPr>
                <w:rFonts w:ascii="Times New Roman" w:eastAsiaTheme="minorHAnsi" w:hAnsi="Times New Roman" w:cs="Times New Roman"/>
              </w:rPr>
              <w:t xml:space="preserve">օրինական ուժի մեջ մտած դատավճռով կամ վարչական ակտով կամ Ենթադրամաշնորհատուի տիրապետության տակ գտնվող ապացույցի հիման վրա հաստատվել է, որ </w:t>
            </w:r>
            <w:r w:rsidRPr="000941D1">
              <w:rPr>
                <w:rFonts w:ascii="Times New Roman" w:hAnsi="Times New Roman" w:cs="Times New Roman"/>
                <w:bCs/>
              </w:rPr>
              <w:t>Ենթադրամաշնորհառուն</w:t>
            </w:r>
            <w:r w:rsidR="0050385B" w:rsidRPr="000941D1">
              <w:rPr>
                <w:rFonts w:ascii="Times New Roman" w:hAnsi="Times New Roman" w:cs="Times New Roman"/>
                <w:bCs/>
              </w:rPr>
              <w:t xml:space="preserve"> </w:t>
            </w:r>
            <w:r w:rsidRPr="00AA07B7">
              <w:rPr>
                <w:rFonts w:ascii="Times New Roman" w:eastAsiaTheme="minorHAnsi" w:hAnsi="Times New Roman" w:cs="Times New Roman"/>
              </w:rPr>
              <w:t>մեղավոր է խարդախության, կոռուպցիայի, հանցավոր կազմակերպությունում ներգրավվածության, փողերի լվացման կամ ահաբեկչության ֆինանսավորման, ահաբեկչության հետ կապված հանցագործություններ, մանկական աշխատանքի կամ մարդկանց առևտրի այլ ձևերի կամ հարկաբյուջետային, սոցիալական կամ այլ կիրառելի իրավական պարտավորությունները շրջանցելու համար, այդ թվում` այդ նպատակով սուբյեկտ ստեղծելու միջոցով,</w:t>
            </w:r>
          </w:p>
        </w:tc>
        <w:tc>
          <w:tcPr>
            <w:tcW w:w="333" w:type="dxa"/>
            <w:gridSpan w:val="2"/>
            <w:tcBorders>
              <w:top w:val="nil"/>
              <w:left w:val="nil"/>
              <w:bottom w:val="nil"/>
              <w:right w:val="nil"/>
            </w:tcBorders>
          </w:tcPr>
          <w:p w14:paraId="6919741B" w14:textId="77777777" w:rsidR="00495ADE" w:rsidRPr="00AA07B7" w:rsidRDefault="00495ADE" w:rsidP="00214ED5">
            <w:pPr>
              <w:pStyle w:val="ListParagraph"/>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3BD04748" w14:textId="3E34B612" w:rsidR="00495ADE" w:rsidRPr="00AA07B7" w:rsidRDefault="00495ADE" w:rsidP="00214ED5">
            <w:pPr>
              <w:pStyle w:val="ListParagraph"/>
              <w:numPr>
                <w:ilvl w:val="0"/>
                <w:numId w:val="51"/>
              </w:numPr>
              <w:tabs>
                <w:tab w:val="left" w:pos="6237"/>
              </w:tabs>
              <w:spacing w:before="60" w:after="60" w:line="240" w:lineRule="auto"/>
              <w:jc w:val="both"/>
              <w:rPr>
                <w:rFonts w:ascii="Times New Roman" w:hAnsi="Times New Roman" w:cs="Times New Roman"/>
                <w:spacing w:val="-2"/>
              </w:rPr>
            </w:pPr>
            <w:r w:rsidRPr="00AA07B7">
              <w:rPr>
                <w:rFonts w:ascii="Times New Roman" w:eastAsiaTheme="minorHAnsi" w:hAnsi="Times New Roman" w:cs="Times New Roman"/>
              </w:rPr>
              <w:t xml:space="preserve">it has been established by a final judgment or a final administrative decision </w:t>
            </w:r>
            <w:r w:rsidRPr="00AA07B7">
              <w:rPr>
                <w:rFonts w:ascii="Times New Roman" w:hAnsi="Times New Roman" w:cs="Times New Roman"/>
              </w:rPr>
              <w:t xml:space="preserve">or by proof in possession of the </w:t>
            </w:r>
            <w:r w:rsidR="00214ED5" w:rsidRPr="00AA07B7">
              <w:rPr>
                <w:rFonts w:ascii="Times New Roman" w:hAnsi="Times New Roman" w:cs="Times New Roman"/>
              </w:rPr>
              <w:t>Sub-Grantor</w:t>
            </w:r>
            <w:r w:rsidRPr="00AA07B7">
              <w:rPr>
                <w:rFonts w:ascii="Times New Roman" w:hAnsi="Times New Roman" w:cs="Times New Roman"/>
              </w:rPr>
              <w:t xml:space="preserve"> </w:t>
            </w:r>
            <w:r w:rsidRPr="00AA07B7">
              <w:rPr>
                <w:rFonts w:ascii="Times New Roman" w:eastAsiaTheme="minorHAnsi" w:hAnsi="Times New Roman" w:cs="Times New Roman"/>
              </w:rPr>
              <w:t xml:space="preserve">that 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is guilty of fraud, corruption, involvement in a criminal organisation, money laundering or terrorist financing, terrorist related offences, child labour or other forms of trafficking in human beings or circumventing fiscal, social or any other applicable legal obligations, including through the creation of an entity for this purpose;</w:t>
            </w:r>
          </w:p>
        </w:tc>
      </w:tr>
      <w:tr w:rsidR="00495ADE" w:rsidRPr="00717728" w14:paraId="30D25E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C30E05A" w14:textId="6C7ACC74" w:rsidR="00495ADE" w:rsidRPr="00AA07B7" w:rsidRDefault="00495ADE">
            <w:pPr>
              <w:pStyle w:val="ListParagraph"/>
              <w:numPr>
                <w:ilvl w:val="0"/>
                <w:numId w:val="10"/>
              </w:numPr>
              <w:autoSpaceDE w:val="0"/>
              <w:autoSpaceDN w:val="0"/>
              <w:adjustRightInd w:val="0"/>
              <w:spacing w:after="120" w:line="259" w:lineRule="auto"/>
              <w:jc w:val="both"/>
              <w:rPr>
                <w:rFonts w:ascii="Times New Roman" w:eastAsiaTheme="minorHAnsi" w:hAnsi="Times New Roman" w:cs="Times New Roman"/>
              </w:rPr>
            </w:pPr>
            <w:r w:rsidRPr="00AA07B7">
              <w:rPr>
                <w:rFonts w:ascii="Times New Roman" w:eastAsiaTheme="minorHAnsi" w:hAnsi="Times New Roman" w:cs="Times New Roman"/>
              </w:rPr>
              <w:t xml:space="preserve">Ենթադրամաշնորհատուն ունի ապացույց առ այն, որ </w:t>
            </w:r>
            <w:r w:rsidRPr="000941D1">
              <w:rPr>
                <w:rFonts w:ascii="Times New Roman" w:hAnsi="Times New Roman" w:cs="Times New Roman"/>
                <w:bCs/>
              </w:rPr>
              <w:t>Ենթադրամաշնորհառուն</w:t>
            </w:r>
            <w:r w:rsidR="00B20651" w:rsidRPr="000941D1">
              <w:rPr>
                <w:rFonts w:ascii="Times New Roman" w:hAnsi="Times New Roman" w:cs="Times New Roman"/>
                <w:bCs/>
              </w:rPr>
              <w:t xml:space="preserve"> չի</w:t>
            </w:r>
            <w:r w:rsidRPr="00AA07B7">
              <w:rPr>
                <w:rFonts w:ascii="Times New Roman" w:eastAsiaTheme="minorHAnsi" w:hAnsi="Times New Roman" w:cs="Times New Roman"/>
              </w:rPr>
              <w:t xml:space="preserve"> կատարել սոցիալական ապահովության վճարների կամ հարկերի վճարման հետ կապված պարտավորությունները` համաձայն Հայաստանի Հանրապետության իրավական դրույթների:</w:t>
            </w:r>
          </w:p>
        </w:tc>
        <w:tc>
          <w:tcPr>
            <w:tcW w:w="333" w:type="dxa"/>
            <w:gridSpan w:val="2"/>
            <w:tcBorders>
              <w:top w:val="nil"/>
              <w:left w:val="nil"/>
              <w:bottom w:val="nil"/>
              <w:right w:val="nil"/>
            </w:tcBorders>
          </w:tcPr>
          <w:p w14:paraId="5011BE04" w14:textId="77777777" w:rsidR="00495ADE" w:rsidRPr="00AA07B7" w:rsidRDefault="00495ADE" w:rsidP="00214ED5">
            <w:pPr>
              <w:pStyle w:val="ListParagraph"/>
              <w:numPr>
                <w:ilvl w:val="0"/>
                <w:numId w:val="51"/>
              </w:numPr>
              <w:tabs>
                <w:tab w:val="left" w:pos="6237"/>
              </w:tabs>
              <w:spacing w:before="60" w:after="60" w:line="240" w:lineRule="auto"/>
              <w:jc w:val="both"/>
              <w:rPr>
                <w:rFonts w:ascii="Times New Roman" w:hAnsi="Times New Roman" w:cs="Times New Roman"/>
                <w:b/>
                <w:bCs/>
                <w:spacing w:val="-2"/>
              </w:rPr>
            </w:pPr>
          </w:p>
        </w:tc>
        <w:tc>
          <w:tcPr>
            <w:tcW w:w="3895" w:type="dxa"/>
            <w:tcBorders>
              <w:top w:val="nil"/>
              <w:left w:val="nil"/>
              <w:bottom w:val="nil"/>
              <w:right w:val="nil"/>
            </w:tcBorders>
          </w:tcPr>
          <w:p w14:paraId="1A1B9FE9" w14:textId="7CBF1570" w:rsidR="00495ADE" w:rsidRPr="00AA07B7" w:rsidRDefault="00495ADE" w:rsidP="00214ED5">
            <w:pPr>
              <w:pStyle w:val="ListParagraph"/>
              <w:numPr>
                <w:ilvl w:val="0"/>
                <w:numId w:val="52"/>
              </w:numPr>
              <w:tabs>
                <w:tab w:val="left" w:pos="6237"/>
              </w:tabs>
              <w:spacing w:before="60" w:after="60" w:line="240" w:lineRule="auto"/>
              <w:jc w:val="both"/>
              <w:rPr>
                <w:rFonts w:ascii="Times New Roman" w:hAnsi="Times New Roman" w:cs="Times New Roman"/>
                <w:b/>
                <w:bCs/>
                <w:spacing w:val="-2"/>
              </w:rPr>
            </w:pPr>
            <w:r w:rsidRPr="00AA07B7">
              <w:rPr>
                <w:rFonts w:ascii="Times New Roman" w:hAnsi="Times New Roman" w:cs="Times New Roman"/>
                <w:b/>
                <w:bCs/>
                <w:spacing w:val="-2"/>
              </w:rPr>
              <w:t xml:space="preserve"> </w:t>
            </w:r>
            <w:r w:rsidRPr="00AA07B7">
              <w:rPr>
                <w:rFonts w:ascii="Times New Roman" w:eastAsiaTheme="minorHAnsi" w:hAnsi="Times New Roman" w:cs="Times New Roman"/>
              </w:rPr>
              <w:t xml:space="preserve">the Sub-grantor has evidence that 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has not fulfilled obligations relating to the payment of social security contributions or the payment of taxes in accordance with the legal provisions of the Republic of Armenia.</w:t>
            </w:r>
          </w:p>
        </w:tc>
      </w:tr>
      <w:tr w:rsidR="00495ADE" w:rsidRPr="00717728" w14:paraId="7B977E5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5EB12CB" w14:textId="34D0E8F0" w:rsidR="00495ADE" w:rsidRPr="00AA07B7" w:rsidRDefault="00495ADE" w:rsidP="007F0F32">
            <w:pPr>
              <w:autoSpaceDE w:val="0"/>
              <w:autoSpaceDN w:val="0"/>
              <w:adjustRightInd w:val="0"/>
              <w:spacing w:after="120" w:line="259" w:lineRule="auto"/>
              <w:jc w:val="both"/>
              <w:rPr>
                <w:rFonts w:ascii="Times New Roman" w:eastAsiaTheme="minorHAnsi" w:hAnsi="Times New Roman" w:cs="Times New Roman"/>
                <w:szCs w:val="18"/>
              </w:rPr>
            </w:pPr>
            <w:r w:rsidRPr="00AA07B7">
              <w:rPr>
                <w:rFonts w:ascii="Times New Roman" w:eastAsiaTheme="minorHAnsi" w:hAnsi="Times New Roman" w:cs="Times New Roman"/>
              </w:rPr>
              <w:t xml:space="preserve">(a), (d), (g), (h) և (i) կետերի համաձայն Պայմանագիրը լուծելու դեպքերը կարող են վերաբերել նաև այն անձանց, ովքեր հանդիսանում են </w:t>
            </w:r>
            <w:r w:rsidRPr="000941D1">
              <w:rPr>
                <w:rFonts w:ascii="Times New Roman" w:hAnsi="Times New Roman" w:cs="Times New Roman"/>
                <w:bCs/>
              </w:rPr>
              <w:t>Ենթադրամաշնորհառուի</w:t>
            </w:r>
            <w:r w:rsidR="00B20651" w:rsidRPr="000941D1">
              <w:rPr>
                <w:rFonts w:ascii="Times New Roman" w:hAnsi="Times New Roman" w:cs="Times New Roman"/>
                <w:bCs/>
              </w:rPr>
              <w:t xml:space="preserve"> </w:t>
            </w:r>
            <w:r w:rsidRPr="00AA07B7">
              <w:rPr>
                <w:rFonts w:ascii="Times New Roman" w:eastAsiaTheme="minorHAnsi" w:hAnsi="Times New Roman" w:cs="Times New Roman"/>
              </w:rPr>
              <w:t xml:space="preserve">վարչական, կառավարման կամ վերահսկող մարմնի անդամ, և/կամ այն անձանց, ովքեր ունեն  </w:t>
            </w:r>
            <w:r w:rsidRPr="000941D1">
              <w:rPr>
                <w:rFonts w:ascii="Times New Roman" w:hAnsi="Times New Roman" w:cs="Times New Roman"/>
                <w:bCs/>
              </w:rPr>
              <w:t>Ենթադրամաշնորհառուին</w:t>
            </w:r>
            <w:r w:rsidRPr="00AA07B7">
              <w:rPr>
                <w:rFonts w:ascii="Times New Roman" w:eastAsiaTheme="minorHAnsi" w:hAnsi="Times New Roman" w:cs="Times New Roman"/>
              </w:rPr>
              <w:t xml:space="preserve"> առնչվող ներկայացուցչական, որոշումների կայացման կամ վերահսկման լիազորություններ:</w:t>
            </w:r>
          </w:p>
        </w:tc>
        <w:tc>
          <w:tcPr>
            <w:tcW w:w="333" w:type="dxa"/>
            <w:gridSpan w:val="2"/>
            <w:tcBorders>
              <w:top w:val="nil"/>
              <w:left w:val="nil"/>
              <w:bottom w:val="nil"/>
              <w:right w:val="nil"/>
            </w:tcBorders>
          </w:tcPr>
          <w:p w14:paraId="28B992FA" w14:textId="77777777" w:rsidR="00495ADE" w:rsidRPr="00AA07B7" w:rsidRDefault="00495ADE" w:rsidP="00405630">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63CF533" w14:textId="4657E14A" w:rsidR="00495ADE" w:rsidRPr="00AA07B7" w:rsidRDefault="00495ADE" w:rsidP="00405630">
            <w:pPr>
              <w:tabs>
                <w:tab w:val="left" w:pos="6237"/>
              </w:tabs>
              <w:spacing w:before="60" w:after="60" w:line="240" w:lineRule="auto"/>
              <w:jc w:val="both"/>
              <w:rPr>
                <w:rFonts w:ascii="Times New Roman" w:hAnsi="Times New Roman" w:cs="Times New Roman"/>
                <w:b/>
                <w:bCs/>
                <w:spacing w:val="-2"/>
              </w:rPr>
            </w:pPr>
            <w:r w:rsidRPr="00AA07B7">
              <w:rPr>
                <w:rFonts w:ascii="Times New Roman" w:eastAsiaTheme="minorHAnsi" w:hAnsi="Times New Roman" w:cs="Times New Roman"/>
              </w:rPr>
              <w:t xml:space="preserve">The cases of termination under points (a), (d), (g), (h) and (i) may refer also to persons who are members of the administrative, management or supervisory body of 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 xml:space="preserve">and/or to persons having powers of representation, decision or control with regard to the </w:t>
            </w:r>
            <w:r w:rsidRPr="000941D1">
              <w:rPr>
                <w:rFonts w:ascii="Times New Roman" w:hAnsi="Times New Roman" w:cs="Times New Roman"/>
                <w:bCs/>
              </w:rPr>
              <w:t>Sub-Grantee</w:t>
            </w:r>
            <w:r w:rsidRPr="00AA07B7">
              <w:rPr>
                <w:rFonts w:ascii="Times New Roman" w:eastAsiaTheme="minorHAnsi" w:hAnsi="Times New Roman" w:cs="Times New Roman"/>
              </w:rPr>
              <w:t>.</w:t>
            </w:r>
          </w:p>
        </w:tc>
      </w:tr>
      <w:tr w:rsidR="00495ADE" w:rsidRPr="00717728" w14:paraId="6671048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2B8A83A" w14:textId="2EAEBD8D" w:rsidR="00495ADE" w:rsidRPr="00AA07B7" w:rsidRDefault="00495ADE" w:rsidP="007F0F32">
            <w:pPr>
              <w:autoSpaceDE w:val="0"/>
              <w:autoSpaceDN w:val="0"/>
              <w:adjustRightInd w:val="0"/>
              <w:spacing w:after="120" w:line="259" w:lineRule="auto"/>
              <w:jc w:val="both"/>
              <w:rPr>
                <w:rFonts w:ascii="Times New Roman" w:hAnsi="Times New Roman" w:cs="Times New Roman"/>
                <w:b/>
              </w:rPr>
            </w:pPr>
            <w:r w:rsidRPr="00AA07B7">
              <w:rPr>
                <w:rFonts w:ascii="Times New Roman" w:eastAsiaTheme="minorHAnsi" w:hAnsi="Times New Roman" w:cs="Times New Roman"/>
              </w:rPr>
              <w:t xml:space="preserve">20.3 Պայմանագրի լուծումից հետո </w:t>
            </w:r>
            <w:r w:rsidRPr="000941D1">
              <w:rPr>
                <w:rFonts w:ascii="Times New Roman" w:hAnsi="Times New Roman" w:cs="Times New Roman"/>
                <w:bCs/>
              </w:rPr>
              <w:t xml:space="preserve">Ենթադրամաշնորհառուն </w:t>
            </w:r>
            <w:r w:rsidRPr="00AA07B7">
              <w:rPr>
                <w:rFonts w:ascii="Times New Roman" w:eastAsiaTheme="minorHAnsi" w:hAnsi="Times New Roman" w:cs="Times New Roman"/>
              </w:rPr>
              <w:t xml:space="preserve">անհապաղ պետք է ձեռնարկեն բոլոր քայլերը՝ Գործողությունը շուտափույթ և պատշաճ կերպով ամփոփելու համար: Չխախտելոբ 12-րդ հոդվածի կատարումը՝ ենթադրամաշնորհի գումարը հաշվարկվում է` հաշվի առնելով Գործողության իրականացված մասի համար կատարված թույլատրելի </w:t>
            </w:r>
            <w:r w:rsidRPr="00AA07B7">
              <w:rPr>
                <w:rFonts w:ascii="Times New Roman" w:eastAsiaTheme="minorHAnsi" w:hAnsi="Times New Roman" w:cs="Times New Roman"/>
              </w:rPr>
              <w:lastRenderedPageBreak/>
              <w:t>ծախսերը և բացառելով այն պարտավորություններին վերաբերող ծախսերը, որոնք կատարվելու են լուծումից հետո:</w:t>
            </w:r>
          </w:p>
        </w:tc>
        <w:tc>
          <w:tcPr>
            <w:tcW w:w="333" w:type="dxa"/>
            <w:gridSpan w:val="2"/>
            <w:tcBorders>
              <w:top w:val="nil"/>
              <w:left w:val="nil"/>
              <w:bottom w:val="nil"/>
              <w:right w:val="nil"/>
            </w:tcBorders>
          </w:tcPr>
          <w:p w14:paraId="5C4F3CA0" w14:textId="77777777" w:rsidR="00495ADE" w:rsidRPr="00AA07B7" w:rsidRDefault="00495ADE" w:rsidP="007760F6">
            <w:pPr>
              <w:tabs>
                <w:tab w:val="left" w:pos="6237"/>
              </w:tabs>
              <w:spacing w:before="60" w:after="60" w:line="240" w:lineRule="auto"/>
              <w:ind w:left="90"/>
              <w:jc w:val="both"/>
              <w:rPr>
                <w:rFonts w:ascii="Times New Roman" w:eastAsiaTheme="minorHAnsi" w:hAnsi="Times New Roman" w:cs="Times New Roman"/>
              </w:rPr>
            </w:pPr>
          </w:p>
        </w:tc>
        <w:tc>
          <w:tcPr>
            <w:tcW w:w="3895" w:type="dxa"/>
            <w:tcBorders>
              <w:top w:val="nil"/>
              <w:left w:val="nil"/>
              <w:bottom w:val="nil"/>
              <w:right w:val="nil"/>
            </w:tcBorders>
          </w:tcPr>
          <w:p w14:paraId="311AA678" w14:textId="2E19E357" w:rsidR="00495ADE" w:rsidRPr="00AA07B7" w:rsidRDefault="00495ADE" w:rsidP="007760F6">
            <w:pPr>
              <w:tabs>
                <w:tab w:val="left" w:pos="6237"/>
              </w:tabs>
              <w:spacing w:before="60" w:after="60" w:line="240" w:lineRule="auto"/>
              <w:ind w:left="90"/>
              <w:jc w:val="both"/>
              <w:rPr>
                <w:rFonts w:ascii="Times New Roman" w:hAnsi="Times New Roman" w:cs="Times New Roman"/>
              </w:rPr>
            </w:pPr>
            <w:r w:rsidRPr="00AA07B7">
              <w:rPr>
                <w:rFonts w:ascii="Times New Roman" w:eastAsiaTheme="minorHAnsi" w:hAnsi="Times New Roman" w:cs="Times New Roman"/>
              </w:rPr>
              <w:t xml:space="preserve">20.3 Upon termination of this Contract the </w:t>
            </w:r>
            <w:r w:rsidRPr="000941D1">
              <w:rPr>
                <w:rFonts w:ascii="Times New Roman" w:hAnsi="Times New Roman" w:cs="Times New Roman"/>
                <w:bCs/>
              </w:rPr>
              <w:t xml:space="preserve">Sub-Grantee </w:t>
            </w:r>
            <w:r w:rsidRPr="00AA07B7">
              <w:rPr>
                <w:rFonts w:ascii="Times New Roman" w:eastAsiaTheme="minorHAnsi" w:hAnsi="Times New Roman" w:cs="Times New Roman"/>
              </w:rPr>
              <w:t xml:space="preserve">shall take all immediate steps to bring the action to a close in a prompt and orderly manner. Without prejudice to Article 12, the sub-grant amount shall be calculated considering the eligible costs for the part of the action </w:t>
            </w:r>
            <w:r w:rsidRPr="00AA07B7">
              <w:rPr>
                <w:rFonts w:ascii="Times New Roman" w:eastAsiaTheme="minorHAnsi" w:hAnsi="Times New Roman" w:cs="Times New Roman"/>
              </w:rPr>
              <w:lastRenderedPageBreak/>
              <w:t>carried out, and excluding costs relating to commitments that are due to be executed after termination.</w:t>
            </w:r>
          </w:p>
        </w:tc>
      </w:tr>
      <w:tr w:rsidR="00495ADE" w:rsidRPr="00717728" w14:paraId="5E2CE08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0EF6E73" w14:textId="568DB88B" w:rsidR="00495ADE" w:rsidRPr="00717728" w:rsidRDefault="00495ADE" w:rsidP="00FF2419">
            <w:pPr>
              <w:spacing w:after="120" w:line="259" w:lineRule="auto"/>
              <w:contextualSpacing/>
              <w:jc w:val="both"/>
              <w:rPr>
                <w:rFonts w:ascii="Times New Roman" w:hAnsi="Times New Roman" w:cs="Times New Roman"/>
                <w:szCs w:val="18"/>
              </w:rPr>
            </w:pPr>
            <w:r w:rsidRPr="00717728">
              <w:rPr>
                <w:rFonts w:ascii="Times New Roman" w:eastAsiaTheme="minorHAnsi" w:hAnsi="Times New Roman" w:cs="Times New Roman"/>
              </w:rPr>
              <w:lastRenderedPageBreak/>
              <w:t xml:space="preserve">20.5 </w:t>
            </w:r>
            <w:r w:rsidRPr="00717728">
              <w:rPr>
                <w:rFonts w:ascii="Times New Roman" w:hAnsi="Times New Roman" w:cs="Times New Roman"/>
              </w:rPr>
              <w:t xml:space="preserve">20.2-րդ հոդվածի (a), (b), (c), (h) և (i) </w:t>
            </w:r>
            <w:r w:rsidRPr="00717728">
              <w:rPr>
                <w:rFonts w:ascii="Times New Roman" w:eastAsiaTheme="minorHAnsi" w:hAnsi="Times New Roman" w:cs="Times New Roman"/>
              </w:rPr>
              <w:t xml:space="preserve">կետերի համաձայն՝ լուծման դեպքում, </w:t>
            </w:r>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ուն, կախված թերությունների ծանրության աստիճանից, կարող է պահանջել Գործողության համար անհարկի վճարված գումարների լրիվ կամ մասնակի վերադարձ:</w:t>
            </w:r>
          </w:p>
        </w:tc>
        <w:tc>
          <w:tcPr>
            <w:tcW w:w="333" w:type="dxa"/>
            <w:gridSpan w:val="2"/>
            <w:tcBorders>
              <w:top w:val="nil"/>
              <w:left w:val="nil"/>
              <w:bottom w:val="nil"/>
              <w:right w:val="nil"/>
            </w:tcBorders>
          </w:tcPr>
          <w:p w14:paraId="2FE7700E" w14:textId="77777777" w:rsidR="00495ADE" w:rsidRPr="00717728" w:rsidRDefault="00495ADE" w:rsidP="006C3458">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C6D0A31" w14:textId="66D5B757"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20.5 </w:t>
            </w:r>
            <w:r w:rsidRPr="00717728">
              <w:rPr>
                <w:rFonts w:ascii="Times New Roman" w:hAnsi="Times New Roman" w:cs="Times New Roman"/>
              </w:rPr>
              <w:t xml:space="preserve">In the cases of termination as per 20.2, points (a), (b), (c), (h) and (i), the </w:t>
            </w:r>
            <w:r>
              <w:rPr>
                <w:rFonts w:ascii="Times New Roman" w:hAnsi="Times New Roman" w:cs="Times New Roman"/>
              </w:rPr>
              <w:t>Sub-grantor</w:t>
            </w:r>
            <w:r w:rsidRPr="00717728">
              <w:rPr>
                <w:rFonts w:ascii="Times New Roman" w:hAnsi="Times New Roman" w:cs="Times New Roman"/>
              </w:rPr>
              <w:t xml:space="preserve"> may, depending on the gravity of the failings, request full or partial repayment of amounts unduly paid for the Action.</w:t>
            </w:r>
          </w:p>
        </w:tc>
      </w:tr>
      <w:tr w:rsidR="00495ADE" w:rsidRPr="00717728" w14:paraId="11A2E6B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48467FB" w14:textId="280BDC74" w:rsidR="00495ADE" w:rsidRPr="00717728" w:rsidRDefault="00495ADE" w:rsidP="00D717BC">
            <w:pPr>
              <w:tabs>
                <w:tab w:val="left" w:pos="4536"/>
              </w:tabs>
              <w:spacing w:after="120" w:line="259" w:lineRule="auto"/>
              <w:contextualSpacing/>
              <w:jc w:val="both"/>
              <w:rPr>
                <w:rFonts w:ascii="Times New Roman" w:hAnsi="Times New Roman" w:cs="Times New Roman"/>
                <w:b/>
              </w:rPr>
            </w:pPr>
            <w:bookmarkStart w:id="42" w:name="_Toc70236988"/>
            <w:r w:rsidRPr="00717728">
              <w:rPr>
                <w:rFonts w:ascii="Times New Roman" w:hAnsi="Times New Roman" w:cs="Times New Roman"/>
                <w:b/>
              </w:rPr>
              <w:t>ՀՈԴՎԱԾ 21 — Կիրառելի օրենք և վեճերի լուծում</w:t>
            </w:r>
            <w:bookmarkEnd w:id="42"/>
            <w:r w:rsidRPr="00717728">
              <w:rPr>
                <w:rFonts w:ascii="Times New Roman" w:hAnsi="Times New Roman" w:cs="Times New Roman"/>
                <w:b/>
              </w:rPr>
              <w:t xml:space="preserve"> </w:t>
            </w:r>
          </w:p>
          <w:p w14:paraId="239A5E08" w14:textId="77777777" w:rsidR="00495ADE" w:rsidRPr="00717728" w:rsidRDefault="00495ADE" w:rsidP="00FF2419">
            <w:pPr>
              <w:spacing w:after="120" w:line="259" w:lineRule="auto"/>
              <w:contextualSpacing/>
              <w:jc w:val="both"/>
              <w:rPr>
                <w:rFonts w:ascii="Times New Roman" w:hAnsi="Times New Roman" w:cs="Times New Roman"/>
                <w:szCs w:val="18"/>
              </w:rPr>
            </w:pPr>
          </w:p>
        </w:tc>
        <w:tc>
          <w:tcPr>
            <w:tcW w:w="333" w:type="dxa"/>
            <w:gridSpan w:val="2"/>
            <w:tcBorders>
              <w:top w:val="nil"/>
              <w:left w:val="nil"/>
              <w:bottom w:val="nil"/>
              <w:right w:val="nil"/>
            </w:tcBorders>
          </w:tcPr>
          <w:p w14:paraId="2EE912B0" w14:textId="77777777" w:rsidR="00495ADE" w:rsidRPr="00717728" w:rsidRDefault="00495ADE" w:rsidP="006C3458">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4162C00" w14:textId="5CC28EB1" w:rsidR="00495ADE" w:rsidRPr="00717728" w:rsidRDefault="00495ADE" w:rsidP="006C3458">
            <w:pPr>
              <w:tabs>
                <w:tab w:val="left" w:pos="6237"/>
              </w:tabs>
              <w:spacing w:before="60" w:after="60" w:line="240" w:lineRule="auto"/>
              <w:jc w:val="both"/>
              <w:rPr>
                <w:rFonts w:ascii="Times New Roman" w:hAnsi="Times New Roman" w:cs="Times New Roman"/>
                <w:b/>
              </w:rPr>
            </w:pPr>
            <w:bookmarkStart w:id="43" w:name="_Toc67590188"/>
            <w:r w:rsidRPr="00717728">
              <w:rPr>
                <w:rFonts w:ascii="Times New Roman" w:hAnsi="Times New Roman" w:cs="Times New Roman"/>
                <w:b/>
              </w:rPr>
              <w:t>ARTICLE 21 — Applicable Law and Dispute Settlement</w:t>
            </w:r>
            <w:bookmarkEnd w:id="43"/>
          </w:p>
        </w:tc>
      </w:tr>
      <w:tr w:rsidR="00495ADE" w:rsidRPr="00717728" w14:paraId="5F900CB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57289EFF" w14:textId="6FC238F8" w:rsidR="00495ADE" w:rsidRPr="00717728" w:rsidRDefault="00495ADE" w:rsidP="00D717BC">
            <w:p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hAnsi="Times New Roman" w:cs="Times New Roman"/>
              </w:rPr>
              <w:t>21.1 Պայմանագիրը կարգավորվում է Հայաստանի Հանրապետության օրենքներով:</w:t>
            </w:r>
          </w:p>
        </w:tc>
        <w:tc>
          <w:tcPr>
            <w:tcW w:w="333" w:type="dxa"/>
            <w:gridSpan w:val="2"/>
            <w:tcBorders>
              <w:top w:val="nil"/>
              <w:left w:val="nil"/>
              <w:bottom w:val="nil"/>
              <w:right w:val="nil"/>
            </w:tcBorders>
          </w:tcPr>
          <w:p w14:paraId="201DFB7C"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C687CFE" w14:textId="3E7EC37A" w:rsidR="00495ADE" w:rsidRPr="00717728" w:rsidRDefault="00495ADE" w:rsidP="006C3458">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21.1 This Contract shall be governed by the laws of the Republic of Armenia.</w:t>
            </w:r>
          </w:p>
        </w:tc>
      </w:tr>
      <w:tr w:rsidR="00495ADE" w:rsidRPr="00717728" w14:paraId="5DB04F8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BB9079A" w14:textId="2F001455" w:rsidR="00495ADE" w:rsidRPr="00717728" w:rsidRDefault="00495ADE" w:rsidP="00C1617D">
            <w:pPr>
              <w:autoSpaceDE w:val="0"/>
              <w:autoSpaceDN w:val="0"/>
              <w:adjustRightInd w:val="0"/>
              <w:spacing w:after="120" w:line="259" w:lineRule="auto"/>
              <w:jc w:val="both"/>
              <w:rPr>
                <w:rFonts w:ascii="Times New Roman" w:hAnsi="Times New Roman" w:cs="Times New Roman"/>
                <w:b/>
                <w:color w:val="0070C0"/>
                <w:highlight w:val="lightGray"/>
              </w:rPr>
            </w:pPr>
            <w:r w:rsidRPr="00717728">
              <w:rPr>
                <w:rFonts w:ascii="Times New Roman" w:hAnsi="Times New Roman" w:cs="Times New Roman"/>
              </w:rPr>
              <w:t xml:space="preserve">21.2 Կողմերի միջև Պայմանագրի կամ դրա կատարման հետ կապված ցանկացած վեճ պետք է </w:t>
            </w:r>
            <w:r w:rsidRPr="007F0F32">
              <w:rPr>
                <w:rFonts w:ascii="Times New Roman" w:hAnsi="Times New Roman" w:cs="Times New Roman"/>
              </w:rPr>
              <w:t>լուծվի ընկերաբար:: Կողմերի՝ համաձայնության չգալու դեպքում վեճը</w:t>
            </w:r>
            <w:r w:rsidRPr="00717728">
              <w:rPr>
                <w:rFonts w:ascii="Times New Roman" w:hAnsi="Times New Roman" w:cs="Times New Roman"/>
              </w:rPr>
              <w:t xml:space="preserve"> լուծվում է ՀՀ օրենսդրությամբ սահմանված կարգով:</w:t>
            </w:r>
          </w:p>
        </w:tc>
        <w:tc>
          <w:tcPr>
            <w:tcW w:w="333" w:type="dxa"/>
            <w:gridSpan w:val="2"/>
            <w:tcBorders>
              <w:top w:val="nil"/>
              <w:left w:val="nil"/>
              <w:bottom w:val="nil"/>
              <w:right w:val="nil"/>
            </w:tcBorders>
          </w:tcPr>
          <w:p w14:paraId="3B6E45AD"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4654FBA" w14:textId="3945878F"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21.2 If any dispute arises between the Parties in connection with this Contract or its implementation shall be settled in amicable form. Should the Parties fail to reach an agreement the dispute shall be resolved in accordance with the legislation of the Republic of Armenia.</w:t>
            </w:r>
          </w:p>
        </w:tc>
      </w:tr>
      <w:tr w:rsidR="00495ADE" w:rsidRPr="00717728" w14:paraId="1DCA69A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FE0CF3C" w14:textId="34D69E18" w:rsidR="00495ADE" w:rsidRPr="00717728" w:rsidRDefault="00495ADE" w:rsidP="006C3458">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hAnsi="Times New Roman" w:cs="Times New Roman"/>
              </w:rPr>
              <w:t>21.3 Պայմանագրի՝ անգլերեն և հայերեն տեքստերի միջև հակասությունների դեպքում գերակայում է հայերեն տեքստը:</w:t>
            </w:r>
          </w:p>
        </w:tc>
        <w:tc>
          <w:tcPr>
            <w:tcW w:w="333" w:type="dxa"/>
            <w:gridSpan w:val="2"/>
            <w:tcBorders>
              <w:top w:val="nil"/>
              <w:left w:val="nil"/>
              <w:bottom w:val="nil"/>
              <w:right w:val="nil"/>
            </w:tcBorders>
          </w:tcPr>
          <w:p w14:paraId="47264C9C"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E7AF309" w14:textId="1073D7B1"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21.3 In case of discrepancies between the Armenian and English texts of the Contract, the Armenian language version shall prevail.</w:t>
            </w:r>
          </w:p>
        </w:tc>
      </w:tr>
      <w:tr w:rsidR="00495ADE" w:rsidRPr="00717728" w14:paraId="268F834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35651068" w14:textId="00F4EC29" w:rsidR="00495ADE" w:rsidRPr="00717728" w:rsidRDefault="00495ADE" w:rsidP="00590F3A">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Պայմանագիրը կազմված է </w:t>
            </w:r>
            <w:r>
              <w:rPr>
                <w:rFonts w:ascii="Times New Roman" w:hAnsi="Times New Roman" w:cs="Times New Roman"/>
              </w:rPr>
              <w:t>բազմակի</w:t>
            </w:r>
            <w:r w:rsidRPr="00717728">
              <w:rPr>
                <w:rFonts w:ascii="Times New Roman" w:hAnsi="Times New Roman" w:cs="Times New Roman"/>
              </w:rPr>
              <w:t xml:space="preserve"> բնօրինակից, որից մեկը </w:t>
            </w:r>
            <w:r>
              <w:rPr>
                <w:rFonts w:ascii="Times New Roman" w:hAnsi="Times New Roman" w:cs="Times New Roman"/>
              </w:rPr>
              <w:t>Ենթադրամաշնորհատ</w:t>
            </w:r>
            <w:r w:rsidRPr="00717728">
              <w:rPr>
                <w:rFonts w:ascii="Times New Roman" w:hAnsi="Times New Roman" w:cs="Times New Roman"/>
              </w:rPr>
              <w:t>ուի, մյուս</w:t>
            </w:r>
            <w:r>
              <w:rPr>
                <w:rFonts w:ascii="Times New Roman" w:hAnsi="Times New Roman" w:cs="Times New Roman"/>
              </w:rPr>
              <w:t>ը</w:t>
            </w:r>
            <w:r w:rsidRPr="00717728">
              <w:rPr>
                <w:rFonts w:ascii="Times New Roman" w:hAnsi="Times New Roman" w:cs="Times New Roman"/>
              </w:rPr>
              <w:t xml:space="preserve">՝ </w:t>
            </w:r>
            <w:r>
              <w:rPr>
                <w:rFonts w:ascii="Times New Roman" w:hAnsi="Times New Roman" w:cs="Times New Roman"/>
              </w:rPr>
              <w:t xml:space="preserve">Ենթադրամաշնորհի </w:t>
            </w:r>
            <w:r w:rsidR="00C4155C">
              <w:rPr>
                <w:rFonts w:ascii="Times New Roman" w:hAnsi="Times New Roman" w:cs="Times New Roman"/>
              </w:rPr>
              <w:t>շահառու</w:t>
            </w:r>
            <w:r w:rsidR="00C4155C">
              <w:rPr>
                <w:rFonts w:ascii="Times New Roman" w:hAnsi="Times New Roman" w:cs="Times New Roman"/>
                <w:lang w:val="hy-AM"/>
              </w:rPr>
              <w:t>ի</w:t>
            </w:r>
            <w:r w:rsidR="00C4155C">
              <w:rPr>
                <w:rFonts w:ascii="Times New Roman" w:hAnsi="Times New Roman" w:cs="Times New Roman"/>
              </w:rPr>
              <w:t xml:space="preserve"> </w:t>
            </w:r>
            <w:r>
              <w:rPr>
                <w:rFonts w:ascii="Times New Roman" w:hAnsi="Times New Roman" w:cs="Times New Roman"/>
              </w:rPr>
              <w:t>համար:</w:t>
            </w:r>
          </w:p>
        </w:tc>
        <w:tc>
          <w:tcPr>
            <w:tcW w:w="333" w:type="dxa"/>
            <w:gridSpan w:val="2"/>
            <w:tcBorders>
              <w:top w:val="nil"/>
              <w:left w:val="nil"/>
              <w:bottom w:val="nil"/>
              <w:right w:val="nil"/>
            </w:tcBorders>
          </w:tcPr>
          <w:p w14:paraId="2F01F20A" w14:textId="77777777" w:rsidR="00495ADE" w:rsidRPr="00717728" w:rsidRDefault="00495ADE" w:rsidP="00A22B07">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133429F" w14:textId="4F148D2D" w:rsidR="00495ADE" w:rsidRPr="00717728" w:rsidRDefault="00495ADE" w:rsidP="00A22B07">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Done in Armenian and English, in </w:t>
            </w:r>
            <w:r>
              <w:rPr>
                <w:rFonts w:ascii="Times New Roman" w:hAnsi="Times New Roman" w:cs="Times New Roman"/>
              </w:rPr>
              <w:t>multiple</w:t>
            </w:r>
            <w:r w:rsidRPr="00717728">
              <w:rPr>
                <w:rFonts w:ascii="Times New Roman" w:hAnsi="Times New Roman" w:cs="Times New Roman"/>
              </w:rPr>
              <w:t xml:space="preserve"> originals, one original being for the </w:t>
            </w:r>
            <w:r>
              <w:rPr>
                <w:rFonts w:ascii="Times New Roman" w:hAnsi="Times New Roman" w:cs="Times New Roman"/>
              </w:rPr>
              <w:t>Sub-grantor</w:t>
            </w:r>
            <w:r w:rsidRPr="00717728">
              <w:rPr>
                <w:rFonts w:ascii="Times New Roman" w:hAnsi="Times New Roman" w:cs="Times New Roman"/>
              </w:rPr>
              <w:t xml:space="preserve"> and one original being for </w:t>
            </w:r>
            <w:r>
              <w:rPr>
                <w:rFonts w:ascii="Times New Roman" w:hAnsi="Times New Roman" w:cs="Times New Roman"/>
              </w:rPr>
              <w:t>each of the the Sub-Grant</w:t>
            </w:r>
            <w:r w:rsidR="00844129">
              <w:rPr>
                <w:rFonts w:ascii="Times New Roman" w:hAnsi="Times New Roman" w:cs="Times New Roman"/>
              </w:rPr>
              <w:t>ee</w:t>
            </w:r>
            <w:r w:rsidRPr="00717728">
              <w:rPr>
                <w:rFonts w:ascii="Times New Roman" w:hAnsi="Times New Roman" w:cs="Times New Roman"/>
              </w:rPr>
              <w:t>.</w:t>
            </w:r>
          </w:p>
        </w:tc>
      </w:tr>
      <w:tr w:rsidR="00AA07B7" w:rsidRPr="00AA07B7" w14:paraId="566311F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4E87B66" w14:textId="09C9A6F5" w:rsidR="00495ADE" w:rsidRPr="000941D1" w:rsidRDefault="00495ADE">
            <w:pPr>
              <w:autoSpaceDE w:val="0"/>
              <w:autoSpaceDN w:val="0"/>
              <w:adjustRightInd w:val="0"/>
              <w:spacing w:after="120" w:line="259" w:lineRule="auto"/>
              <w:jc w:val="both"/>
              <w:rPr>
                <w:rFonts w:ascii="Times New Roman" w:hAnsi="Times New Roman" w:cs="Times New Roman"/>
                <w:b/>
              </w:rPr>
            </w:pPr>
            <w:r w:rsidRPr="000941D1">
              <w:rPr>
                <w:rFonts w:ascii="Times New Roman" w:hAnsi="Times New Roman" w:cs="Times New Roman"/>
                <w:bCs/>
              </w:rPr>
              <w:t>Ենթադրամաշնորհառուի</w:t>
            </w:r>
            <w:r w:rsidR="00B20651" w:rsidRPr="000941D1">
              <w:rPr>
                <w:rFonts w:ascii="Times New Roman" w:hAnsi="Times New Roman" w:cs="Times New Roman"/>
                <w:bCs/>
              </w:rPr>
              <w:t xml:space="preserve"> անունից</w:t>
            </w:r>
            <w:r w:rsidRPr="00AA07B7">
              <w:rPr>
                <w:rFonts w:ascii="Times New Roman" w:hAnsi="Times New Roman" w:cs="Times New Roman"/>
                <w:b/>
              </w:rPr>
              <w:t>՝</w:t>
            </w:r>
          </w:p>
        </w:tc>
        <w:tc>
          <w:tcPr>
            <w:tcW w:w="333" w:type="dxa"/>
            <w:gridSpan w:val="2"/>
            <w:tcBorders>
              <w:top w:val="nil"/>
              <w:left w:val="nil"/>
              <w:bottom w:val="nil"/>
              <w:right w:val="nil"/>
            </w:tcBorders>
          </w:tcPr>
          <w:p w14:paraId="749FE2F0" w14:textId="77777777" w:rsidR="00495ADE" w:rsidRPr="00AA07B7" w:rsidRDefault="00495ADE" w:rsidP="00C1617D">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5D2E334" w14:textId="392EE9B0" w:rsidR="00495ADE" w:rsidRPr="00AA07B7" w:rsidRDefault="00495ADE" w:rsidP="00C1617D">
            <w:pPr>
              <w:tabs>
                <w:tab w:val="left" w:pos="6237"/>
              </w:tabs>
              <w:spacing w:before="60" w:after="60" w:line="240" w:lineRule="auto"/>
              <w:jc w:val="both"/>
              <w:rPr>
                <w:rFonts w:ascii="Times New Roman" w:hAnsi="Times New Roman" w:cs="Times New Roman"/>
                <w:b/>
                <w:bCs/>
              </w:rPr>
            </w:pPr>
            <w:r w:rsidRPr="00AA07B7">
              <w:rPr>
                <w:rFonts w:ascii="Times New Roman" w:hAnsi="Times New Roman" w:cs="Times New Roman"/>
                <w:b/>
              </w:rPr>
              <w:t xml:space="preserve">For the </w:t>
            </w:r>
            <w:r w:rsidRPr="000941D1">
              <w:rPr>
                <w:rFonts w:ascii="Times New Roman" w:hAnsi="Times New Roman" w:cs="Times New Roman"/>
                <w:b/>
              </w:rPr>
              <w:t xml:space="preserve">Sub-Grantee </w:t>
            </w:r>
          </w:p>
        </w:tc>
      </w:tr>
      <w:tr w:rsidR="00AA07B7" w:rsidRPr="00AA07B7" w14:paraId="4B9B4B5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DA6196E" w14:textId="3F701B51" w:rsidR="00495ADE" w:rsidRPr="000941D1" w:rsidRDefault="00495ADE" w:rsidP="006C3458">
            <w:pPr>
              <w:autoSpaceDE w:val="0"/>
              <w:autoSpaceDN w:val="0"/>
              <w:adjustRightInd w:val="0"/>
              <w:spacing w:after="120" w:line="259" w:lineRule="auto"/>
              <w:jc w:val="both"/>
              <w:rPr>
                <w:rFonts w:ascii="Times New Roman" w:hAnsi="Times New Roman" w:cs="Times New Roman"/>
                <w:b/>
              </w:rPr>
            </w:pPr>
            <w:r w:rsidRPr="00AA07B7">
              <w:rPr>
                <w:rFonts w:ascii="Times New Roman" w:hAnsi="Times New Roman" w:cs="Times New Roman"/>
              </w:rPr>
              <w:t>Անուն</w:t>
            </w:r>
          </w:p>
        </w:tc>
        <w:tc>
          <w:tcPr>
            <w:tcW w:w="333" w:type="dxa"/>
            <w:gridSpan w:val="2"/>
            <w:tcBorders>
              <w:top w:val="nil"/>
              <w:left w:val="nil"/>
              <w:bottom w:val="nil"/>
              <w:right w:val="nil"/>
            </w:tcBorders>
          </w:tcPr>
          <w:p w14:paraId="7B05EEA8" w14:textId="77777777" w:rsidR="00495ADE" w:rsidRPr="00AA07B7"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82A58BE" w14:textId="34D21895" w:rsidR="00495ADE" w:rsidRPr="00AA07B7" w:rsidRDefault="00495ADE" w:rsidP="006C3458">
            <w:pPr>
              <w:tabs>
                <w:tab w:val="left" w:pos="6237"/>
              </w:tabs>
              <w:spacing w:before="60" w:after="60" w:line="240" w:lineRule="auto"/>
              <w:jc w:val="both"/>
              <w:rPr>
                <w:rFonts w:ascii="Times New Roman" w:hAnsi="Times New Roman" w:cs="Times New Roman"/>
                <w:spacing w:val="-2"/>
              </w:rPr>
            </w:pPr>
            <w:r w:rsidRPr="00AA07B7">
              <w:rPr>
                <w:rFonts w:ascii="Times New Roman" w:hAnsi="Times New Roman" w:cs="Times New Roman"/>
              </w:rPr>
              <w:t>Name</w:t>
            </w:r>
          </w:p>
        </w:tc>
      </w:tr>
      <w:tr w:rsidR="00AA07B7" w:rsidRPr="00AA07B7" w14:paraId="38E21B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147F045B" w14:textId="4AD4D182" w:rsidR="00495ADE" w:rsidRPr="000941D1" w:rsidRDefault="00495ADE" w:rsidP="006C3458">
            <w:pPr>
              <w:autoSpaceDE w:val="0"/>
              <w:autoSpaceDN w:val="0"/>
              <w:adjustRightInd w:val="0"/>
              <w:spacing w:after="120" w:line="259" w:lineRule="auto"/>
              <w:jc w:val="both"/>
              <w:rPr>
                <w:rFonts w:ascii="Times New Roman" w:hAnsi="Times New Roman" w:cs="Times New Roman"/>
                <w:b/>
              </w:rPr>
            </w:pPr>
            <w:r w:rsidRPr="00AA07B7">
              <w:rPr>
                <w:rFonts w:ascii="Times New Roman" w:hAnsi="Times New Roman" w:cs="Times New Roman"/>
              </w:rPr>
              <w:t>Պաշտոն</w:t>
            </w:r>
          </w:p>
        </w:tc>
        <w:tc>
          <w:tcPr>
            <w:tcW w:w="333" w:type="dxa"/>
            <w:gridSpan w:val="2"/>
            <w:tcBorders>
              <w:top w:val="nil"/>
              <w:left w:val="nil"/>
              <w:bottom w:val="nil"/>
              <w:right w:val="nil"/>
            </w:tcBorders>
          </w:tcPr>
          <w:p w14:paraId="2C2E3010" w14:textId="77777777" w:rsidR="00495ADE" w:rsidRPr="00AA07B7"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7D6DCD1" w14:textId="2DA19DC4" w:rsidR="00495ADE" w:rsidRPr="00AA07B7" w:rsidRDefault="00495ADE" w:rsidP="006C3458">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Title</w:t>
            </w:r>
          </w:p>
        </w:tc>
      </w:tr>
      <w:tr w:rsidR="00AA07B7" w:rsidRPr="00AA07B7" w14:paraId="677FE2E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2F87D702" w14:textId="61765552" w:rsidR="00495ADE" w:rsidRPr="000941D1" w:rsidRDefault="00495ADE" w:rsidP="006C3458">
            <w:pPr>
              <w:autoSpaceDE w:val="0"/>
              <w:autoSpaceDN w:val="0"/>
              <w:adjustRightInd w:val="0"/>
              <w:spacing w:after="120" w:line="259" w:lineRule="auto"/>
              <w:jc w:val="both"/>
              <w:rPr>
                <w:rFonts w:ascii="Times New Roman" w:hAnsi="Times New Roman" w:cs="Times New Roman"/>
                <w:b/>
              </w:rPr>
            </w:pPr>
            <w:r w:rsidRPr="00AA07B7">
              <w:rPr>
                <w:rFonts w:ascii="Times New Roman" w:hAnsi="Times New Roman" w:cs="Times New Roman"/>
              </w:rPr>
              <w:t>Ստորագրություն</w:t>
            </w:r>
          </w:p>
        </w:tc>
        <w:tc>
          <w:tcPr>
            <w:tcW w:w="333" w:type="dxa"/>
            <w:gridSpan w:val="2"/>
            <w:tcBorders>
              <w:top w:val="nil"/>
              <w:left w:val="nil"/>
              <w:bottom w:val="nil"/>
              <w:right w:val="nil"/>
            </w:tcBorders>
          </w:tcPr>
          <w:p w14:paraId="481A40C0" w14:textId="77777777" w:rsidR="00495ADE" w:rsidRPr="00AA07B7"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9504551" w14:textId="02F690B6" w:rsidR="00495ADE" w:rsidRPr="00AA07B7" w:rsidRDefault="00495ADE" w:rsidP="006C3458">
            <w:pPr>
              <w:tabs>
                <w:tab w:val="left" w:pos="6237"/>
              </w:tabs>
              <w:spacing w:before="60" w:after="60" w:line="240" w:lineRule="auto"/>
              <w:jc w:val="both"/>
              <w:rPr>
                <w:rFonts w:ascii="Times New Roman" w:hAnsi="Times New Roman" w:cs="Times New Roman"/>
              </w:rPr>
            </w:pPr>
            <w:r w:rsidRPr="00AA07B7">
              <w:rPr>
                <w:rFonts w:ascii="Times New Roman" w:hAnsi="Times New Roman" w:cs="Times New Roman"/>
              </w:rPr>
              <w:t>Signature</w:t>
            </w:r>
          </w:p>
        </w:tc>
      </w:tr>
      <w:tr w:rsidR="00495ADE" w:rsidRPr="00717728" w14:paraId="0C51138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2563590" w14:textId="13B4169D" w:rsidR="00495ADE" w:rsidRPr="00717728" w:rsidRDefault="00495ADE" w:rsidP="006C3458">
            <w:pPr>
              <w:autoSpaceDE w:val="0"/>
              <w:autoSpaceDN w:val="0"/>
              <w:adjustRightInd w:val="0"/>
              <w:spacing w:after="120" w:line="259" w:lineRule="auto"/>
              <w:jc w:val="both"/>
              <w:rPr>
                <w:rFonts w:ascii="Times New Roman" w:hAnsi="Times New Roman" w:cs="Times New Roman"/>
                <w:b/>
                <w:color w:val="0070C0"/>
                <w:highlight w:val="lightGray"/>
              </w:rPr>
            </w:pPr>
            <w:r w:rsidRPr="00717728">
              <w:rPr>
                <w:rFonts w:ascii="Times New Roman" w:hAnsi="Times New Roman" w:cs="Times New Roman"/>
              </w:rPr>
              <w:t>Ամսաթիվ</w:t>
            </w:r>
          </w:p>
        </w:tc>
        <w:tc>
          <w:tcPr>
            <w:tcW w:w="333" w:type="dxa"/>
            <w:gridSpan w:val="2"/>
            <w:tcBorders>
              <w:top w:val="nil"/>
              <w:left w:val="nil"/>
              <w:bottom w:val="nil"/>
              <w:right w:val="nil"/>
            </w:tcBorders>
          </w:tcPr>
          <w:p w14:paraId="66C0D51F"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051C720" w14:textId="3232ED28"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Date</w:t>
            </w:r>
          </w:p>
        </w:tc>
      </w:tr>
      <w:tr w:rsidR="00495ADE" w:rsidRPr="00717728" w14:paraId="2C7E848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DBA84DA" w14:textId="77777777" w:rsidR="00495ADE" w:rsidRPr="00717728" w:rsidRDefault="00495ADE" w:rsidP="006C3458">
            <w:pPr>
              <w:autoSpaceDE w:val="0"/>
              <w:autoSpaceDN w:val="0"/>
              <w:adjustRightInd w:val="0"/>
              <w:spacing w:after="120" w:line="259" w:lineRule="auto"/>
              <w:jc w:val="both"/>
              <w:rPr>
                <w:rFonts w:ascii="Times New Roman" w:hAnsi="Times New Roman" w:cs="Times New Roman"/>
              </w:rPr>
            </w:pPr>
          </w:p>
        </w:tc>
        <w:tc>
          <w:tcPr>
            <w:tcW w:w="333" w:type="dxa"/>
            <w:gridSpan w:val="2"/>
            <w:tcBorders>
              <w:top w:val="nil"/>
              <w:left w:val="nil"/>
              <w:bottom w:val="nil"/>
              <w:right w:val="nil"/>
            </w:tcBorders>
          </w:tcPr>
          <w:p w14:paraId="00B442B0"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7874C14" w14:textId="0EBCEBF1"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Date</w:t>
            </w:r>
          </w:p>
        </w:tc>
      </w:tr>
      <w:tr w:rsidR="00495ADE" w:rsidRPr="00717728" w14:paraId="17E19D5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45DA683" w14:textId="77777777" w:rsidR="00495ADE" w:rsidRPr="00717728" w:rsidRDefault="00495ADE" w:rsidP="006C3458">
            <w:pPr>
              <w:autoSpaceDE w:val="0"/>
              <w:autoSpaceDN w:val="0"/>
              <w:adjustRightInd w:val="0"/>
              <w:spacing w:after="120" w:line="259" w:lineRule="auto"/>
              <w:jc w:val="both"/>
              <w:rPr>
                <w:rFonts w:ascii="Times New Roman" w:hAnsi="Times New Roman" w:cs="Times New Roman"/>
              </w:rPr>
            </w:pPr>
          </w:p>
        </w:tc>
        <w:tc>
          <w:tcPr>
            <w:tcW w:w="333" w:type="dxa"/>
            <w:gridSpan w:val="2"/>
            <w:tcBorders>
              <w:top w:val="nil"/>
              <w:left w:val="nil"/>
              <w:bottom w:val="nil"/>
              <w:right w:val="nil"/>
            </w:tcBorders>
          </w:tcPr>
          <w:p w14:paraId="25796C26"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7C9E84C" w14:textId="1E6F0E04" w:rsidR="00495ADE" w:rsidRPr="00717728" w:rsidRDefault="00495ADE" w:rsidP="006C3458">
            <w:pPr>
              <w:tabs>
                <w:tab w:val="left" w:pos="6237"/>
              </w:tabs>
              <w:spacing w:before="60" w:after="60" w:line="240" w:lineRule="auto"/>
              <w:jc w:val="both"/>
              <w:rPr>
                <w:rFonts w:ascii="Times New Roman" w:hAnsi="Times New Roman" w:cs="Times New Roman"/>
              </w:rPr>
            </w:pPr>
          </w:p>
        </w:tc>
      </w:tr>
      <w:tr w:rsidR="00495ADE" w:rsidRPr="00717728" w14:paraId="4E30C2A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C20FD0F" w14:textId="57C7C719" w:rsidR="00495ADE" w:rsidRPr="00717728" w:rsidRDefault="00495ADE">
            <w:pPr>
              <w:autoSpaceDE w:val="0"/>
              <w:autoSpaceDN w:val="0"/>
              <w:adjustRightInd w:val="0"/>
              <w:spacing w:after="120" w:line="259" w:lineRule="auto"/>
              <w:jc w:val="both"/>
              <w:rPr>
                <w:rFonts w:ascii="Times New Roman" w:hAnsi="Times New Roman" w:cs="Times New Roman"/>
              </w:rPr>
            </w:pPr>
            <w:r>
              <w:rPr>
                <w:rFonts w:ascii="Times New Roman" w:hAnsi="Times New Roman" w:cs="Times New Roman"/>
                <w:b/>
              </w:rPr>
              <w:t>Ենթադրամաշնորհատ</w:t>
            </w:r>
            <w:r w:rsidRPr="00717728">
              <w:rPr>
                <w:rFonts w:ascii="Times New Roman" w:hAnsi="Times New Roman" w:cs="Times New Roman"/>
                <w:b/>
              </w:rPr>
              <w:t xml:space="preserve">ուի </w:t>
            </w:r>
            <w:r w:rsidR="00B20651">
              <w:rPr>
                <w:rFonts w:ascii="Times New Roman" w:hAnsi="Times New Roman" w:cs="Times New Roman"/>
                <w:b/>
              </w:rPr>
              <w:t>անունից</w:t>
            </w:r>
            <w:r w:rsidRPr="00717728">
              <w:rPr>
                <w:rFonts w:ascii="Times New Roman" w:hAnsi="Times New Roman" w:cs="Times New Roman"/>
                <w:b/>
              </w:rPr>
              <w:t>՝</w:t>
            </w:r>
          </w:p>
        </w:tc>
        <w:tc>
          <w:tcPr>
            <w:tcW w:w="333" w:type="dxa"/>
            <w:gridSpan w:val="2"/>
            <w:tcBorders>
              <w:top w:val="nil"/>
              <w:left w:val="nil"/>
              <w:bottom w:val="nil"/>
              <w:right w:val="nil"/>
            </w:tcBorders>
          </w:tcPr>
          <w:p w14:paraId="534D0C71" w14:textId="77777777" w:rsidR="00495ADE" w:rsidRPr="00717728" w:rsidRDefault="00495ADE" w:rsidP="006C3458">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898EFB4" w14:textId="3E36B1BA"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b/>
              </w:rPr>
              <w:t xml:space="preserve">For the </w:t>
            </w:r>
            <w:r>
              <w:rPr>
                <w:rFonts w:ascii="Times New Roman" w:hAnsi="Times New Roman" w:cs="Times New Roman"/>
                <w:b/>
              </w:rPr>
              <w:t>Sub-grantor</w:t>
            </w:r>
          </w:p>
        </w:tc>
      </w:tr>
      <w:tr w:rsidR="00495ADE" w:rsidRPr="00717728" w14:paraId="69120E8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7568321D" w14:textId="428DE31D" w:rsidR="00495ADE" w:rsidRPr="00717728" w:rsidRDefault="00495ADE" w:rsidP="006C3458">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Անուն</w:t>
            </w:r>
          </w:p>
        </w:tc>
        <w:tc>
          <w:tcPr>
            <w:tcW w:w="333" w:type="dxa"/>
            <w:gridSpan w:val="2"/>
            <w:tcBorders>
              <w:top w:val="nil"/>
              <w:left w:val="nil"/>
              <w:bottom w:val="nil"/>
              <w:right w:val="nil"/>
            </w:tcBorders>
          </w:tcPr>
          <w:p w14:paraId="1D83F695"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95766DD" w14:textId="4DE3215E" w:rsidR="00495ADE" w:rsidRPr="00717728" w:rsidRDefault="00495ADE" w:rsidP="006C3458">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Name</w:t>
            </w:r>
          </w:p>
        </w:tc>
      </w:tr>
      <w:tr w:rsidR="00495ADE" w:rsidRPr="00717728" w14:paraId="1E9002E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62E34805" w14:textId="584E94D8" w:rsidR="00495ADE" w:rsidRPr="00717728" w:rsidRDefault="00495ADE" w:rsidP="006C3458">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Պաշտոն</w:t>
            </w:r>
          </w:p>
        </w:tc>
        <w:tc>
          <w:tcPr>
            <w:tcW w:w="333" w:type="dxa"/>
            <w:gridSpan w:val="2"/>
            <w:tcBorders>
              <w:top w:val="nil"/>
              <w:left w:val="nil"/>
              <w:bottom w:val="nil"/>
              <w:right w:val="nil"/>
            </w:tcBorders>
          </w:tcPr>
          <w:p w14:paraId="4D585A86"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44ED00B" w14:textId="6A976707"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Title</w:t>
            </w:r>
          </w:p>
        </w:tc>
      </w:tr>
      <w:tr w:rsidR="00495ADE" w:rsidRPr="00717728" w14:paraId="49EA996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55ECB94" w14:textId="59B0FCFB" w:rsidR="00495ADE" w:rsidRPr="00717728" w:rsidRDefault="00495ADE" w:rsidP="006C3458">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Ստորագրություն</w:t>
            </w:r>
          </w:p>
        </w:tc>
        <w:tc>
          <w:tcPr>
            <w:tcW w:w="333" w:type="dxa"/>
            <w:gridSpan w:val="2"/>
            <w:tcBorders>
              <w:top w:val="nil"/>
              <w:left w:val="nil"/>
              <w:bottom w:val="nil"/>
              <w:right w:val="nil"/>
            </w:tcBorders>
          </w:tcPr>
          <w:p w14:paraId="73EE437A"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0B48F4F" w14:textId="51959E7F"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Signature</w:t>
            </w:r>
          </w:p>
        </w:tc>
      </w:tr>
      <w:tr w:rsidR="00495ADE" w:rsidRPr="00717728" w14:paraId="0F5DCBE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4"/>
            <w:tcBorders>
              <w:top w:val="nil"/>
              <w:left w:val="nil"/>
              <w:bottom w:val="nil"/>
              <w:right w:val="nil"/>
            </w:tcBorders>
          </w:tcPr>
          <w:p w14:paraId="081EC58D" w14:textId="75E61334" w:rsidR="00495ADE" w:rsidRPr="00717728" w:rsidRDefault="00495ADE" w:rsidP="006C3458">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Ամսաթիվ</w:t>
            </w:r>
          </w:p>
        </w:tc>
        <w:tc>
          <w:tcPr>
            <w:tcW w:w="333" w:type="dxa"/>
            <w:gridSpan w:val="2"/>
            <w:tcBorders>
              <w:top w:val="nil"/>
              <w:left w:val="nil"/>
              <w:bottom w:val="nil"/>
              <w:right w:val="nil"/>
            </w:tcBorders>
          </w:tcPr>
          <w:p w14:paraId="0413D0E0"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F8D6B65" w14:textId="169F9B41"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Date</w:t>
            </w:r>
          </w:p>
        </w:tc>
      </w:tr>
    </w:tbl>
    <w:p w14:paraId="385F443C" w14:textId="5BDA0906" w:rsidR="00D665C6" w:rsidRPr="00717728" w:rsidRDefault="00D665C6" w:rsidP="00FE7FA1">
      <w:pPr>
        <w:tabs>
          <w:tab w:val="left" w:pos="6237"/>
        </w:tabs>
        <w:spacing w:before="60" w:after="60" w:line="240" w:lineRule="auto"/>
        <w:rPr>
          <w:rFonts w:ascii="Times New Roman" w:hAnsi="Times New Roman" w:cs="Times New Roman"/>
        </w:rPr>
      </w:pPr>
    </w:p>
    <w:sectPr w:rsidR="00D665C6" w:rsidRPr="00717728" w:rsidSect="00D41EEF">
      <w:footerReference w:type="default" r:id="rId14"/>
      <w:pgSz w:w="12240" w:h="15840"/>
      <w:pgMar w:top="851" w:right="851" w:bottom="851" w:left="851"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8B9C" w14:textId="77777777" w:rsidR="009F3DDA" w:rsidRDefault="009F3DDA" w:rsidP="00461310">
      <w:pPr>
        <w:spacing w:after="0" w:line="240" w:lineRule="auto"/>
      </w:pPr>
      <w:r>
        <w:separator/>
      </w:r>
    </w:p>
  </w:endnote>
  <w:endnote w:type="continuationSeparator" w:id="0">
    <w:p w14:paraId="750C8653" w14:textId="77777777" w:rsidR="009F3DDA" w:rsidRDefault="009F3DDA" w:rsidP="004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sz w:val="18"/>
        <w:szCs w:val="18"/>
      </w:rPr>
      <w:id w:val="640776244"/>
      <w:docPartObj>
        <w:docPartGallery w:val="Page Numbers (Bottom of Page)"/>
        <w:docPartUnique/>
      </w:docPartObj>
    </w:sdtPr>
    <w:sdtEndPr/>
    <w:sdtContent>
      <w:sdt>
        <w:sdtPr>
          <w:rPr>
            <w:rFonts w:ascii="Sylfaen" w:hAnsi="Sylfaen"/>
            <w:sz w:val="18"/>
            <w:szCs w:val="18"/>
          </w:rPr>
          <w:id w:val="-1769616900"/>
          <w:docPartObj>
            <w:docPartGallery w:val="Page Numbers (Top of Page)"/>
            <w:docPartUnique/>
          </w:docPartObj>
        </w:sdtPr>
        <w:sdtEndPr/>
        <w:sdtContent>
          <w:p w14:paraId="5D100AC6" w14:textId="17038CF5" w:rsidR="003A3A12" w:rsidRPr="00E1229C" w:rsidRDefault="003A3A12">
            <w:pPr>
              <w:pStyle w:val="Footer"/>
              <w:jc w:val="right"/>
              <w:rPr>
                <w:rFonts w:ascii="Sylfaen" w:hAnsi="Sylfaen"/>
                <w:sz w:val="18"/>
                <w:szCs w:val="18"/>
              </w:rPr>
            </w:pPr>
            <w:r w:rsidRPr="00E1229C">
              <w:rPr>
                <w:rFonts w:ascii="Sylfaen" w:hAnsi="Sylfaen"/>
                <w:sz w:val="18"/>
                <w:szCs w:val="18"/>
              </w:rPr>
              <w:t xml:space="preserve">Page </w:t>
            </w:r>
            <w:r w:rsidRPr="00E1229C">
              <w:rPr>
                <w:rFonts w:ascii="Sylfaen" w:hAnsi="Sylfaen"/>
                <w:sz w:val="18"/>
                <w:szCs w:val="18"/>
              </w:rPr>
              <w:fldChar w:fldCharType="begin"/>
            </w:r>
            <w:r w:rsidRPr="00E1229C">
              <w:rPr>
                <w:rFonts w:ascii="Sylfaen" w:hAnsi="Sylfaen"/>
                <w:sz w:val="18"/>
                <w:szCs w:val="18"/>
              </w:rPr>
              <w:instrText xml:space="preserve"> PAGE </w:instrText>
            </w:r>
            <w:r w:rsidRPr="00E1229C">
              <w:rPr>
                <w:rFonts w:ascii="Sylfaen" w:hAnsi="Sylfaen"/>
                <w:sz w:val="18"/>
                <w:szCs w:val="18"/>
              </w:rPr>
              <w:fldChar w:fldCharType="separate"/>
            </w:r>
            <w:r w:rsidR="00C6325F">
              <w:rPr>
                <w:rFonts w:ascii="Sylfaen" w:hAnsi="Sylfaen"/>
                <w:noProof/>
                <w:sz w:val="18"/>
                <w:szCs w:val="18"/>
              </w:rPr>
              <w:t>22</w:t>
            </w:r>
            <w:r w:rsidRPr="00E1229C">
              <w:rPr>
                <w:rFonts w:ascii="Sylfaen" w:hAnsi="Sylfaen"/>
                <w:sz w:val="18"/>
                <w:szCs w:val="18"/>
              </w:rPr>
              <w:fldChar w:fldCharType="end"/>
            </w:r>
            <w:r w:rsidRPr="00E1229C">
              <w:rPr>
                <w:rFonts w:ascii="Sylfaen" w:hAnsi="Sylfaen"/>
                <w:sz w:val="18"/>
                <w:szCs w:val="18"/>
              </w:rPr>
              <w:t xml:space="preserve"> of </w:t>
            </w:r>
            <w:r w:rsidRPr="00E1229C">
              <w:rPr>
                <w:rFonts w:ascii="Sylfaen" w:hAnsi="Sylfaen"/>
                <w:sz w:val="18"/>
                <w:szCs w:val="18"/>
              </w:rPr>
              <w:fldChar w:fldCharType="begin"/>
            </w:r>
            <w:r w:rsidRPr="00E1229C">
              <w:rPr>
                <w:rFonts w:ascii="Sylfaen" w:hAnsi="Sylfaen"/>
                <w:sz w:val="18"/>
                <w:szCs w:val="18"/>
              </w:rPr>
              <w:instrText xml:space="preserve"> NUMPAGES  </w:instrText>
            </w:r>
            <w:r w:rsidRPr="00E1229C">
              <w:rPr>
                <w:rFonts w:ascii="Sylfaen" w:hAnsi="Sylfaen"/>
                <w:sz w:val="18"/>
                <w:szCs w:val="18"/>
              </w:rPr>
              <w:fldChar w:fldCharType="separate"/>
            </w:r>
            <w:r w:rsidR="00C6325F">
              <w:rPr>
                <w:rFonts w:ascii="Sylfaen" w:hAnsi="Sylfaen"/>
                <w:noProof/>
                <w:sz w:val="18"/>
                <w:szCs w:val="18"/>
              </w:rPr>
              <w:t>22</w:t>
            </w:r>
            <w:r w:rsidRPr="00E1229C">
              <w:rPr>
                <w:rFonts w:ascii="Sylfaen" w:hAnsi="Sylfaen"/>
                <w:sz w:val="18"/>
                <w:szCs w:val="18"/>
              </w:rPr>
              <w:fldChar w:fldCharType="end"/>
            </w:r>
          </w:p>
        </w:sdtContent>
      </w:sdt>
    </w:sdtContent>
  </w:sdt>
  <w:p w14:paraId="7FCB625A" w14:textId="77777777" w:rsidR="003A3A12" w:rsidRPr="00E1229C" w:rsidRDefault="003A3A12">
    <w:pPr>
      <w:pStyle w:val="Footer"/>
      <w:rPr>
        <w:rFonts w:ascii="Sylfaen" w:hAnsi="Sylfae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E3F8" w14:textId="77777777" w:rsidR="009F3DDA" w:rsidRDefault="009F3DDA" w:rsidP="00461310">
      <w:pPr>
        <w:spacing w:after="0" w:line="240" w:lineRule="auto"/>
      </w:pPr>
      <w:r>
        <w:separator/>
      </w:r>
    </w:p>
  </w:footnote>
  <w:footnote w:type="continuationSeparator" w:id="0">
    <w:p w14:paraId="4EB4BC75" w14:textId="77777777" w:rsidR="009F3DDA" w:rsidRDefault="009F3DDA" w:rsidP="00461310">
      <w:pPr>
        <w:spacing w:after="0" w:line="240" w:lineRule="auto"/>
      </w:pPr>
      <w:r>
        <w:continuationSeparator/>
      </w:r>
    </w:p>
  </w:footnote>
  <w:footnote w:id="1">
    <w:p w14:paraId="5FD4A30B" w14:textId="77777777" w:rsidR="003A3A12" w:rsidRPr="00F02FB6" w:rsidRDefault="003A3A12" w:rsidP="003A7701">
      <w:pPr>
        <w:spacing w:before="120" w:after="120"/>
        <w:jc w:val="both"/>
        <w:rPr>
          <w:color w:val="FF0000"/>
          <w:sz w:val="20"/>
          <w:lang w:val="fr-FR"/>
        </w:rPr>
      </w:pPr>
      <w:r>
        <w:rPr>
          <w:rStyle w:val="FootnoteReference"/>
        </w:rPr>
        <w:footnoteRef/>
      </w:r>
      <w:r>
        <w:t xml:space="preserve"> </w:t>
      </w:r>
      <w:r w:rsidRPr="00E9666A">
        <w:rPr>
          <w:sz w:val="20"/>
        </w:rPr>
        <w:t xml:space="preserve">Շնորհված գումարը և </w:t>
      </w:r>
      <w:r>
        <w:rPr>
          <w:sz w:val="20"/>
        </w:rPr>
        <w:t>ս</w:t>
      </w:r>
      <w:r w:rsidRPr="00B250F9">
        <w:rPr>
          <w:sz w:val="20"/>
        </w:rPr>
        <w:t xml:space="preserve">ույն </w:t>
      </w:r>
      <w:r>
        <w:rPr>
          <w:sz w:val="20"/>
        </w:rPr>
        <w:t xml:space="preserve">հոդվածով նախատեված տոկոսները պետք է համապատասխանեն Հավելված </w:t>
      </w:r>
      <w:r w:rsidRPr="00B94451">
        <w:rPr>
          <w:sz w:val="20"/>
        </w:rPr>
        <w:t xml:space="preserve">II – </w:t>
      </w:r>
      <w:r>
        <w:rPr>
          <w:sz w:val="20"/>
        </w:rPr>
        <w:t>Ենթադրամաշնորհի բյուջեում նշված գոիմարին և տոկոսներին:</w:t>
      </w:r>
      <w:r w:rsidRPr="00B94451">
        <w:rPr>
          <w:sz w:val="20"/>
          <w:lang w:val="fr-FR"/>
        </w:rPr>
        <w:t xml:space="preserve"> </w:t>
      </w:r>
    </w:p>
  </w:footnote>
  <w:footnote w:id="2">
    <w:p w14:paraId="26E60E30" w14:textId="77777777" w:rsidR="003A3A12" w:rsidRPr="00F02FB6" w:rsidRDefault="003A3A12" w:rsidP="003A7701">
      <w:pPr>
        <w:spacing w:before="120" w:after="120"/>
        <w:jc w:val="both"/>
        <w:rPr>
          <w:color w:val="FF0000"/>
          <w:sz w:val="20"/>
          <w:lang w:val="fr-FR"/>
        </w:rPr>
      </w:pPr>
      <w:r>
        <w:rPr>
          <w:rStyle w:val="FootnoteReference"/>
        </w:rPr>
        <w:footnoteRef/>
      </w:r>
      <w:r>
        <w:t xml:space="preserve"> </w:t>
      </w:r>
      <w:r w:rsidRPr="00B94451">
        <w:rPr>
          <w:sz w:val="20"/>
        </w:rPr>
        <w:t>The amount awarded and percentages stated in this article must match with those in Annex II – Sub-Grant Budget.</w:t>
      </w:r>
      <w:r w:rsidRPr="00B94451">
        <w:rPr>
          <w:sz w:val="20"/>
          <w:lang w:val="fr-F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9E5"/>
    <w:multiLevelType w:val="hybridMultilevel"/>
    <w:tmpl w:val="877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974B5"/>
    <w:multiLevelType w:val="hybridMultilevel"/>
    <w:tmpl w:val="1D640996"/>
    <w:lvl w:ilvl="0" w:tplc="EDC09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F1736"/>
    <w:multiLevelType w:val="hybridMultilevel"/>
    <w:tmpl w:val="9FE24D04"/>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10582"/>
    <w:multiLevelType w:val="multilevel"/>
    <w:tmpl w:val="1D7A2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8466D6"/>
    <w:multiLevelType w:val="hybridMultilevel"/>
    <w:tmpl w:val="C5C0FD74"/>
    <w:lvl w:ilvl="0" w:tplc="4D6C7D8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44D2A"/>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57B70"/>
    <w:multiLevelType w:val="hybridMultilevel"/>
    <w:tmpl w:val="AEE63B34"/>
    <w:lvl w:ilvl="0" w:tplc="E39EA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90898"/>
    <w:multiLevelType w:val="hybridMultilevel"/>
    <w:tmpl w:val="D1485B1C"/>
    <w:lvl w:ilvl="0" w:tplc="EE6AF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B4F56"/>
    <w:multiLevelType w:val="hybridMultilevel"/>
    <w:tmpl w:val="AC2CAFA6"/>
    <w:lvl w:ilvl="0" w:tplc="3EE2E5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070A2"/>
    <w:multiLevelType w:val="hybridMultilevel"/>
    <w:tmpl w:val="B02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B0483"/>
    <w:multiLevelType w:val="hybridMultilevel"/>
    <w:tmpl w:val="7A080D26"/>
    <w:lvl w:ilvl="0" w:tplc="309AD5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A3448"/>
    <w:multiLevelType w:val="hybridMultilevel"/>
    <w:tmpl w:val="B81A3E84"/>
    <w:lvl w:ilvl="0" w:tplc="2FDA0F3E">
      <w:start w:val="7"/>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642CF"/>
    <w:multiLevelType w:val="hybridMultilevel"/>
    <w:tmpl w:val="9FCA875A"/>
    <w:lvl w:ilvl="0" w:tplc="D124FA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1248A"/>
    <w:multiLevelType w:val="hybridMultilevel"/>
    <w:tmpl w:val="14520A4C"/>
    <w:lvl w:ilvl="0" w:tplc="AAA04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06CD"/>
    <w:multiLevelType w:val="hybridMultilevel"/>
    <w:tmpl w:val="37D659AE"/>
    <w:lvl w:ilvl="0" w:tplc="94A88EF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E4941"/>
    <w:multiLevelType w:val="hybridMultilevel"/>
    <w:tmpl w:val="2DF0BDFC"/>
    <w:lvl w:ilvl="0" w:tplc="4644282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425C1"/>
    <w:multiLevelType w:val="hybridMultilevel"/>
    <w:tmpl w:val="585C2B06"/>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780BBA"/>
    <w:multiLevelType w:val="hybridMultilevel"/>
    <w:tmpl w:val="2430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FB77CD"/>
    <w:multiLevelType w:val="hybridMultilevel"/>
    <w:tmpl w:val="A232F65E"/>
    <w:lvl w:ilvl="0" w:tplc="5BBA4A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B0444"/>
    <w:multiLevelType w:val="hybridMultilevel"/>
    <w:tmpl w:val="9F90BFB8"/>
    <w:lvl w:ilvl="0" w:tplc="91E46C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717FA"/>
    <w:multiLevelType w:val="hybridMultilevel"/>
    <w:tmpl w:val="137A6E82"/>
    <w:lvl w:ilvl="0" w:tplc="AA32E2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B725D"/>
    <w:multiLevelType w:val="hybridMultilevel"/>
    <w:tmpl w:val="44968DFC"/>
    <w:lvl w:ilvl="0" w:tplc="D026D55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765173"/>
    <w:multiLevelType w:val="hybridMultilevel"/>
    <w:tmpl w:val="E45EAC50"/>
    <w:lvl w:ilvl="0" w:tplc="BED6C71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9D256F"/>
    <w:multiLevelType w:val="hybridMultilevel"/>
    <w:tmpl w:val="76D09EDE"/>
    <w:lvl w:ilvl="0" w:tplc="4022B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37902"/>
    <w:multiLevelType w:val="hybridMultilevel"/>
    <w:tmpl w:val="3A764928"/>
    <w:lvl w:ilvl="0" w:tplc="C68A39F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A1952"/>
    <w:multiLevelType w:val="hybridMultilevel"/>
    <w:tmpl w:val="EB9C5B0C"/>
    <w:lvl w:ilvl="0" w:tplc="7760F9CE">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486504"/>
    <w:multiLevelType w:val="hybridMultilevel"/>
    <w:tmpl w:val="5A829870"/>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12282D"/>
    <w:multiLevelType w:val="hybridMultilevel"/>
    <w:tmpl w:val="FDA65F40"/>
    <w:lvl w:ilvl="0" w:tplc="2EACCAEC">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F1A30"/>
    <w:multiLevelType w:val="hybridMultilevel"/>
    <w:tmpl w:val="2B88692C"/>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DC4095"/>
    <w:multiLevelType w:val="hybridMultilevel"/>
    <w:tmpl w:val="94FE7358"/>
    <w:lvl w:ilvl="0" w:tplc="C11607D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6370A"/>
    <w:multiLevelType w:val="hybridMultilevel"/>
    <w:tmpl w:val="4CCEDD98"/>
    <w:lvl w:ilvl="0" w:tplc="47A84AA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B7121E"/>
    <w:multiLevelType w:val="hybridMultilevel"/>
    <w:tmpl w:val="9B9E99E4"/>
    <w:lvl w:ilvl="0" w:tplc="C3089D6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8F6658"/>
    <w:multiLevelType w:val="hybridMultilevel"/>
    <w:tmpl w:val="04D2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6326426"/>
    <w:multiLevelType w:val="hybridMultilevel"/>
    <w:tmpl w:val="AE24480C"/>
    <w:lvl w:ilvl="0" w:tplc="04CC50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B33B22"/>
    <w:multiLevelType w:val="hybridMultilevel"/>
    <w:tmpl w:val="6D66508C"/>
    <w:lvl w:ilvl="0" w:tplc="2D1610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AA1789"/>
    <w:multiLevelType w:val="hybridMultilevel"/>
    <w:tmpl w:val="17AA3B9C"/>
    <w:lvl w:ilvl="0" w:tplc="06C404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1D306F"/>
    <w:multiLevelType w:val="hybridMultilevel"/>
    <w:tmpl w:val="A4DC1890"/>
    <w:lvl w:ilvl="0" w:tplc="FAF8C40C">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C7118A"/>
    <w:multiLevelType w:val="hybridMultilevel"/>
    <w:tmpl w:val="2A4874CC"/>
    <w:lvl w:ilvl="0" w:tplc="D33E904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1D5391"/>
    <w:multiLevelType w:val="hybridMultilevel"/>
    <w:tmpl w:val="761A43CA"/>
    <w:lvl w:ilvl="0" w:tplc="FE08223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DB2385"/>
    <w:multiLevelType w:val="hybridMultilevel"/>
    <w:tmpl w:val="DE18DA7C"/>
    <w:lvl w:ilvl="0" w:tplc="A412DDE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D739F4"/>
    <w:multiLevelType w:val="hybridMultilevel"/>
    <w:tmpl w:val="FCE68D60"/>
    <w:lvl w:ilvl="0" w:tplc="0B2CF98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5A3186"/>
    <w:multiLevelType w:val="hybridMultilevel"/>
    <w:tmpl w:val="5F0E25D4"/>
    <w:lvl w:ilvl="0" w:tplc="9C306A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065CAC"/>
    <w:multiLevelType w:val="hybridMultilevel"/>
    <w:tmpl w:val="E7E0154C"/>
    <w:lvl w:ilvl="0" w:tplc="E8BAAF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70649"/>
    <w:multiLevelType w:val="hybridMultilevel"/>
    <w:tmpl w:val="5DE20E20"/>
    <w:lvl w:ilvl="0" w:tplc="372E36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363671"/>
    <w:multiLevelType w:val="hybridMultilevel"/>
    <w:tmpl w:val="B100EA72"/>
    <w:lvl w:ilvl="0" w:tplc="46DE234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90722"/>
    <w:multiLevelType w:val="hybridMultilevel"/>
    <w:tmpl w:val="B1B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8124FA"/>
    <w:multiLevelType w:val="hybridMultilevel"/>
    <w:tmpl w:val="992EF31A"/>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952937"/>
    <w:multiLevelType w:val="hybridMultilevel"/>
    <w:tmpl w:val="5A829870"/>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6D71C9"/>
    <w:multiLevelType w:val="hybridMultilevel"/>
    <w:tmpl w:val="D54427A6"/>
    <w:lvl w:ilvl="0" w:tplc="F1E2FF66">
      <w:start w:val="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993002"/>
    <w:multiLevelType w:val="hybridMultilevel"/>
    <w:tmpl w:val="115E8F98"/>
    <w:lvl w:ilvl="0" w:tplc="1EBA26E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A74FD5"/>
    <w:multiLevelType w:val="hybridMultilevel"/>
    <w:tmpl w:val="EA96250A"/>
    <w:lvl w:ilvl="0" w:tplc="D6FAC6A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1" w15:restartNumberingAfterBreak="0">
    <w:nsid w:val="61BD5C27"/>
    <w:multiLevelType w:val="hybridMultilevel"/>
    <w:tmpl w:val="F8465C72"/>
    <w:lvl w:ilvl="0" w:tplc="1DF82A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47798"/>
    <w:multiLevelType w:val="hybridMultilevel"/>
    <w:tmpl w:val="9984D546"/>
    <w:lvl w:ilvl="0" w:tplc="CE4A62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C970B1"/>
    <w:multiLevelType w:val="hybridMultilevel"/>
    <w:tmpl w:val="32869122"/>
    <w:lvl w:ilvl="0" w:tplc="9A5411F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03321A"/>
    <w:multiLevelType w:val="hybridMultilevel"/>
    <w:tmpl w:val="BF8CEA32"/>
    <w:lvl w:ilvl="0" w:tplc="0012045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E21E91"/>
    <w:multiLevelType w:val="hybridMultilevel"/>
    <w:tmpl w:val="D6342698"/>
    <w:lvl w:ilvl="0" w:tplc="CAB87B0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A5329C"/>
    <w:multiLevelType w:val="hybridMultilevel"/>
    <w:tmpl w:val="A2808048"/>
    <w:lvl w:ilvl="0" w:tplc="17347B76">
      <w:start w:val="5"/>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EC69C4"/>
    <w:multiLevelType w:val="hybridMultilevel"/>
    <w:tmpl w:val="AC7800B6"/>
    <w:lvl w:ilvl="0" w:tplc="B38696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522F9C"/>
    <w:multiLevelType w:val="hybridMultilevel"/>
    <w:tmpl w:val="85DA605C"/>
    <w:lvl w:ilvl="0" w:tplc="1A2080A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E565DC"/>
    <w:multiLevelType w:val="hybridMultilevel"/>
    <w:tmpl w:val="E2A0AA36"/>
    <w:lvl w:ilvl="0" w:tplc="695436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786DE1"/>
    <w:multiLevelType w:val="hybridMultilevel"/>
    <w:tmpl w:val="FDEAC3D6"/>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8D40EC"/>
    <w:multiLevelType w:val="hybridMultilevel"/>
    <w:tmpl w:val="DF706CB8"/>
    <w:lvl w:ilvl="0" w:tplc="4D5E968C">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D1794E"/>
    <w:multiLevelType w:val="hybridMultilevel"/>
    <w:tmpl w:val="F3E40572"/>
    <w:lvl w:ilvl="0" w:tplc="D11CBC5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2036C1"/>
    <w:multiLevelType w:val="hybridMultilevel"/>
    <w:tmpl w:val="9D1476F2"/>
    <w:lvl w:ilvl="0" w:tplc="76F283E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AE4A47"/>
    <w:multiLevelType w:val="hybridMultilevel"/>
    <w:tmpl w:val="98849E14"/>
    <w:lvl w:ilvl="0" w:tplc="106C4CD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FA0A2C"/>
    <w:multiLevelType w:val="hybridMultilevel"/>
    <w:tmpl w:val="FC4EC90E"/>
    <w:lvl w:ilvl="0" w:tplc="A5B6D25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D8381F"/>
    <w:multiLevelType w:val="hybridMultilevel"/>
    <w:tmpl w:val="5BCC21E0"/>
    <w:lvl w:ilvl="0" w:tplc="D4844E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F64C06"/>
    <w:multiLevelType w:val="hybridMultilevel"/>
    <w:tmpl w:val="70A86D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6"/>
  </w:num>
  <w:num w:numId="3">
    <w:abstractNumId w:val="17"/>
  </w:num>
  <w:num w:numId="4">
    <w:abstractNumId w:val="2"/>
  </w:num>
  <w:num w:numId="5">
    <w:abstractNumId w:val="1"/>
  </w:num>
  <w:num w:numId="6">
    <w:abstractNumId w:val="5"/>
  </w:num>
  <w:num w:numId="7">
    <w:abstractNumId w:val="9"/>
  </w:num>
  <w:num w:numId="8">
    <w:abstractNumId w:val="50"/>
  </w:num>
  <w:num w:numId="9">
    <w:abstractNumId w:val="45"/>
  </w:num>
  <w:num w:numId="10">
    <w:abstractNumId w:val="46"/>
  </w:num>
  <w:num w:numId="11">
    <w:abstractNumId w:val="32"/>
  </w:num>
  <w:num w:numId="12">
    <w:abstractNumId w:val="28"/>
  </w:num>
  <w:num w:numId="13">
    <w:abstractNumId w:val="60"/>
  </w:num>
  <w:num w:numId="14">
    <w:abstractNumId w:val="43"/>
  </w:num>
  <w:num w:numId="15">
    <w:abstractNumId w:val="26"/>
  </w:num>
  <w:num w:numId="16">
    <w:abstractNumId w:val="25"/>
  </w:num>
  <w:num w:numId="17">
    <w:abstractNumId w:val="67"/>
  </w:num>
  <w:num w:numId="18">
    <w:abstractNumId w:val="0"/>
  </w:num>
  <w:num w:numId="19">
    <w:abstractNumId w:val="47"/>
  </w:num>
  <w:num w:numId="20">
    <w:abstractNumId w:val="18"/>
  </w:num>
  <w:num w:numId="21">
    <w:abstractNumId w:val="42"/>
  </w:num>
  <w:num w:numId="22">
    <w:abstractNumId w:val="57"/>
  </w:num>
  <w:num w:numId="23">
    <w:abstractNumId w:val="21"/>
  </w:num>
  <w:num w:numId="24">
    <w:abstractNumId w:val="4"/>
  </w:num>
  <w:num w:numId="25">
    <w:abstractNumId w:val="38"/>
  </w:num>
  <w:num w:numId="26">
    <w:abstractNumId w:val="61"/>
  </w:num>
  <w:num w:numId="27">
    <w:abstractNumId w:val="36"/>
  </w:num>
  <w:num w:numId="28">
    <w:abstractNumId w:val="48"/>
  </w:num>
  <w:num w:numId="29">
    <w:abstractNumId w:val="56"/>
  </w:num>
  <w:num w:numId="30">
    <w:abstractNumId w:val="27"/>
  </w:num>
  <w:num w:numId="31">
    <w:abstractNumId w:val="11"/>
  </w:num>
  <w:num w:numId="32">
    <w:abstractNumId w:val="23"/>
  </w:num>
  <w:num w:numId="33">
    <w:abstractNumId w:val="7"/>
  </w:num>
  <w:num w:numId="34">
    <w:abstractNumId w:val="15"/>
  </w:num>
  <w:num w:numId="35">
    <w:abstractNumId w:val="49"/>
  </w:num>
  <w:num w:numId="36">
    <w:abstractNumId w:val="30"/>
  </w:num>
  <w:num w:numId="37">
    <w:abstractNumId w:val="34"/>
  </w:num>
  <w:num w:numId="38">
    <w:abstractNumId w:val="19"/>
  </w:num>
  <w:num w:numId="39">
    <w:abstractNumId w:val="53"/>
  </w:num>
  <w:num w:numId="40">
    <w:abstractNumId w:val="24"/>
  </w:num>
  <w:num w:numId="41">
    <w:abstractNumId w:val="40"/>
  </w:num>
  <w:num w:numId="42">
    <w:abstractNumId w:val="31"/>
  </w:num>
  <w:num w:numId="43">
    <w:abstractNumId w:val="6"/>
  </w:num>
  <w:num w:numId="44">
    <w:abstractNumId w:val="35"/>
  </w:num>
  <w:num w:numId="45">
    <w:abstractNumId w:val="20"/>
  </w:num>
  <w:num w:numId="46">
    <w:abstractNumId w:val="14"/>
  </w:num>
  <w:num w:numId="47">
    <w:abstractNumId w:val="64"/>
  </w:num>
  <w:num w:numId="48">
    <w:abstractNumId w:val="22"/>
  </w:num>
  <w:num w:numId="49">
    <w:abstractNumId w:val="66"/>
  </w:num>
  <w:num w:numId="50">
    <w:abstractNumId w:val="39"/>
  </w:num>
  <w:num w:numId="51">
    <w:abstractNumId w:val="37"/>
  </w:num>
  <w:num w:numId="52">
    <w:abstractNumId w:val="63"/>
  </w:num>
  <w:num w:numId="53">
    <w:abstractNumId w:val="3"/>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8"/>
  </w:num>
  <w:num w:numId="87">
    <w:abstractNumId w:val="13"/>
  </w:num>
  <w:num w:numId="88">
    <w:abstractNumId w:val="52"/>
  </w:num>
  <w:num w:numId="89">
    <w:abstractNumId w:val="33"/>
  </w:num>
  <w:num w:numId="90">
    <w:abstractNumId w:val="65"/>
  </w:num>
  <w:num w:numId="91">
    <w:abstractNumId w:val="54"/>
  </w:num>
  <w:num w:numId="92">
    <w:abstractNumId w:val="29"/>
  </w:num>
  <w:num w:numId="93">
    <w:abstractNumId w:val="44"/>
  </w:num>
  <w:num w:numId="94">
    <w:abstractNumId w:val="58"/>
  </w:num>
  <w:num w:numId="95">
    <w:abstractNumId w:val="10"/>
  </w:num>
  <w:num w:numId="96">
    <w:abstractNumId w:val="12"/>
  </w:num>
  <w:num w:numId="97">
    <w:abstractNumId w:val="55"/>
  </w:num>
  <w:num w:numId="98">
    <w:abstractNumId w:val="59"/>
  </w:num>
  <w:num w:numId="99">
    <w:abstractNumId w:val="51"/>
  </w:num>
  <w:num w:numId="100">
    <w:abstractNumId w:val="6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67"/>
    <w:rsid w:val="000002FB"/>
    <w:rsid w:val="0000163F"/>
    <w:rsid w:val="0001014D"/>
    <w:rsid w:val="000122BB"/>
    <w:rsid w:val="00014C67"/>
    <w:rsid w:val="00015AE5"/>
    <w:rsid w:val="000222AD"/>
    <w:rsid w:val="00022BE9"/>
    <w:rsid w:val="00026F98"/>
    <w:rsid w:val="00027DE7"/>
    <w:rsid w:val="00030D10"/>
    <w:rsid w:val="0003100B"/>
    <w:rsid w:val="00031D85"/>
    <w:rsid w:val="00034A80"/>
    <w:rsid w:val="000363AF"/>
    <w:rsid w:val="000370A9"/>
    <w:rsid w:val="000400BA"/>
    <w:rsid w:val="000406A8"/>
    <w:rsid w:val="000428B4"/>
    <w:rsid w:val="00042D30"/>
    <w:rsid w:val="000447FF"/>
    <w:rsid w:val="00044FA8"/>
    <w:rsid w:val="0004769B"/>
    <w:rsid w:val="0005324F"/>
    <w:rsid w:val="00056A13"/>
    <w:rsid w:val="00060FFE"/>
    <w:rsid w:val="00063119"/>
    <w:rsid w:val="000631CD"/>
    <w:rsid w:val="00063A3A"/>
    <w:rsid w:val="000737AB"/>
    <w:rsid w:val="0008014A"/>
    <w:rsid w:val="00080FC3"/>
    <w:rsid w:val="00082163"/>
    <w:rsid w:val="00083316"/>
    <w:rsid w:val="00093DBE"/>
    <w:rsid w:val="000941D1"/>
    <w:rsid w:val="000945A8"/>
    <w:rsid w:val="000960EF"/>
    <w:rsid w:val="00096289"/>
    <w:rsid w:val="0009747B"/>
    <w:rsid w:val="000A08E6"/>
    <w:rsid w:val="000A26A8"/>
    <w:rsid w:val="000A3E47"/>
    <w:rsid w:val="000A495D"/>
    <w:rsid w:val="000A5087"/>
    <w:rsid w:val="000A56B9"/>
    <w:rsid w:val="000A5B3B"/>
    <w:rsid w:val="000A5B3F"/>
    <w:rsid w:val="000A75C8"/>
    <w:rsid w:val="000A7FD1"/>
    <w:rsid w:val="000B03A3"/>
    <w:rsid w:val="000B0D5D"/>
    <w:rsid w:val="000B1252"/>
    <w:rsid w:val="000B1BD1"/>
    <w:rsid w:val="000B1EB9"/>
    <w:rsid w:val="000B28AA"/>
    <w:rsid w:val="000B357E"/>
    <w:rsid w:val="000C11A1"/>
    <w:rsid w:val="000C1AE0"/>
    <w:rsid w:val="000C25B3"/>
    <w:rsid w:val="000C3513"/>
    <w:rsid w:val="000C46DC"/>
    <w:rsid w:val="000C5131"/>
    <w:rsid w:val="000D133A"/>
    <w:rsid w:val="000D4699"/>
    <w:rsid w:val="000D4CB9"/>
    <w:rsid w:val="000D546D"/>
    <w:rsid w:val="000D5760"/>
    <w:rsid w:val="000E02BA"/>
    <w:rsid w:val="000E0CC2"/>
    <w:rsid w:val="000E1933"/>
    <w:rsid w:val="000E35A9"/>
    <w:rsid w:val="000E4167"/>
    <w:rsid w:val="000E4CD6"/>
    <w:rsid w:val="000E6536"/>
    <w:rsid w:val="000E6C01"/>
    <w:rsid w:val="000E6D86"/>
    <w:rsid w:val="000E7892"/>
    <w:rsid w:val="000E7D3F"/>
    <w:rsid w:val="000F27A2"/>
    <w:rsid w:val="000F3D89"/>
    <w:rsid w:val="000F4E9F"/>
    <w:rsid w:val="001019CC"/>
    <w:rsid w:val="00102782"/>
    <w:rsid w:val="00102FDA"/>
    <w:rsid w:val="00104347"/>
    <w:rsid w:val="00111CCC"/>
    <w:rsid w:val="00120B50"/>
    <w:rsid w:val="001229F5"/>
    <w:rsid w:val="001249E0"/>
    <w:rsid w:val="001255CC"/>
    <w:rsid w:val="001279D4"/>
    <w:rsid w:val="001303C2"/>
    <w:rsid w:val="0013101F"/>
    <w:rsid w:val="00131A4C"/>
    <w:rsid w:val="00132C30"/>
    <w:rsid w:val="00132ED7"/>
    <w:rsid w:val="0013444C"/>
    <w:rsid w:val="00136DBC"/>
    <w:rsid w:val="001370A3"/>
    <w:rsid w:val="00143AF1"/>
    <w:rsid w:val="00145494"/>
    <w:rsid w:val="00147E0D"/>
    <w:rsid w:val="00153EA4"/>
    <w:rsid w:val="00156577"/>
    <w:rsid w:val="00156F52"/>
    <w:rsid w:val="001611B1"/>
    <w:rsid w:val="00165E97"/>
    <w:rsid w:val="00165F43"/>
    <w:rsid w:val="001663F0"/>
    <w:rsid w:val="00170A38"/>
    <w:rsid w:val="00170A66"/>
    <w:rsid w:val="00173836"/>
    <w:rsid w:val="001809C3"/>
    <w:rsid w:val="0018216C"/>
    <w:rsid w:val="001822B5"/>
    <w:rsid w:val="0018414D"/>
    <w:rsid w:val="00186BFF"/>
    <w:rsid w:val="00191356"/>
    <w:rsid w:val="00192724"/>
    <w:rsid w:val="00192E5F"/>
    <w:rsid w:val="00194F93"/>
    <w:rsid w:val="001A07D7"/>
    <w:rsid w:val="001A0DE4"/>
    <w:rsid w:val="001A2616"/>
    <w:rsid w:val="001A3890"/>
    <w:rsid w:val="001A4274"/>
    <w:rsid w:val="001A463B"/>
    <w:rsid w:val="001A4645"/>
    <w:rsid w:val="001A7CC5"/>
    <w:rsid w:val="001B31FB"/>
    <w:rsid w:val="001B41D1"/>
    <w:rsid w:val="001C1059"/>
    <w:rsid w:val="001C4243"/>
    <w:rsid w:val="001C4329"/>
    <w:rsid w:val="001C59FA"/>
    <w:rsid w:val="001C7FB5"/>
    <w:rsid w:val="001D1CF8"/>
    <w:rsid w:val="001D2331"/>
    <w:rsid w:val="001D6AF5"/>
    <w:rsid w:val="001D713A"/>
    <w:rsid w:val="001E7155"/>
    <w:rsid w:val="001F15E4"/>
    <w:rsid w:val="001F1BA9"/>
    <w:rsid w:val="001F27DF"/>
    <w:rsid w:val="001F5225"/>
    <w:rsid w:val="002038A9"/>
    <w:rsid w:val="00210B57"/>
    <w:rsid w:val="00214ED5"/>
    <w:rsid w:val="002154A8"/>
    <w:rsid w:val="002156E1"/>
    <w:rsid w:val="00215B75"/>
    <w:rsid w:val="0021700F"/>
    <w:rsid w:val="002170A6"/>
    <w:rsid w:val="00217D3B"/>
    <w:rsid w:val="00221931"/>
    <w:rsid w:val="00222A14"/>
    <w:rsid w:val="00224C81"/>
    <w:rsid w:val="00226D8F"/>
    <w:rsid w:val="00227544"/>
    <w:rsid w:val="002301F4"/>
    <w:rsid w:val="00230861"/>
    <w:rsid w:val="00231EB3"/>
    <w:rsid w:val="00232637"/>
    <w:rsid w:val="00233D31"/>
    <w:rsid w:val="00233E17"/>
    <w:rsid w:val="00236AC6"/>
    <w:rsid w:val="00241145"/>
    <w:rsid w:val="002456C2"/>
    <w:rsid w:val="00246870"/>
    <w:rsid w:val="00253951"/>
    <w:rsid w:val="00253B5F"/>
    <w:rsid w:val="002605FD"/>
    <w:rsid w:val="00261E85"/>
    <w:rsid w:val="00263E54"/>
    <w:rsid w:val="0026485F"/>
    <w:rsid w:val="0026554B"/>
    <w:rsid w:val="00266280"/>
    <w:rsid w:val="002724C2"/>
    <w:rsid w:val="0027276D"/>
    <w:rsid w:val="00272E0D"/>
    <w:rsid w:val="00272F91"/>
    <w:rsid w:val="00273B86"/>
    <w:rsid w:val="00283833"/>
    <w:rsid w:val="0028640F"/>
    <w:rsid w:val="00286BE6"/>
    <w:rsid w:val="002875C5"/>
    <w:rsid w:val="002877CB"/>
    <w:rsid w:val="0029159C"/>
    <w:rsid w:val="0029313B"/>
    <w:rsid w:val="002944BA"/>
    <w:rsid w:val="002951EA"/>
    <w:rsid w:val="00295205"/>
    <w:rsid w:val="00295D80"/>
    <w:rsid w:val="002A47AF"/>
    <w:rsid w:val="002A7C84"/>
    <w:rsid w:val="002B36F2"/>
    <w:rsid w:val="002B5AAC"/>
    <w:rsid w:val="002B7DDE"/>
    <w:rsid w:val="002C1475"/>
    <w:rsid w:val="002C1CEF"/>
    <w:rsid w:val="002C5E2C"/>
    <w:rsid w:val="002D43ED"/>
    <w:rsid w:val="002D45AD"/>
    <w:rsid w:val="002E0090"/>
    <w:rsid w:val="002E07B5"/>
    <w:rsid w:val="002E0CD9"/>
    <w:rsid w:val="002E239C"/>
    <w:rsid w:val="002E28F2"/>
    <w:rsid w:val="002E2A6B"/>
    <w:rsid w:val="002F0056"/>
    <w:rsid w:val="002F4B0C"/>
    <w:rsid w:val="002F700D"/>
    <w:rsid w:val="002F73D9"/>
    <w:rsid w:val="00303BA6"/>
    <w:rsid w:val="00305B68"/>
    <w:rsid w:val="003078DD"/>
    <w:rsid w:val="00310BAD"/>
    <w:rsid w:val="003134C0"/>
    <w:rsid w:val="003134E6"/>
    <w:rsid w:val="003156F1"/>
    <w:rsid w:val="00316342"/>
    <w:rsid w:val="0032365D"/>
    <w:rsid w:val="00324C04"/>
    <w:rsid w:val="003277F4"/>
    <w:rsid w:val="00330423"/>
    <w:rsid w:val="00330F31"/>
    <w:rsid w:val="003324F1"/>
    <w:rsid w:val="00334F12"/>
    <w:rsid w:val="00335184"/>
    <w:rsid w:val="003424F5"/>
    <w:rsid w:val="003426C6"/>
    <w:rsid w:val="003428BC"/>
    <w:rsid w:val="00342DD4"/>
    <w:rsid w:val="0034438E"/>
    <w:rsid w:val="00344805"/>
    <w:rsid w:val="003457BB"/>
    <w:rsid w:val="003460EA"/>
    <w:rsid w:val="0035062B"/>
    <w:rsid w:val="0035258F"/>
    <w:rsid w:val="00352C7D"/>
    <w:rsid w:val="00353288"/>
    <w:rsid w:val="003535AB"/>
    <w:rsid w:val="00355DB4"/>
    <w:rsid w:val="00356702"/>
    <w:rsid w:val="003601FA"/>
    <w:rsid w:val="003622B0"/>
    <w:rsid w:val="00364228"/>
    <w:rsid w:val="003727D9"/>
    <w:rsid w:val="00372D15"/>
    <w:rsid w:val="00374CDE"/>
    <w:rsid w:val="00374E8F"/>
    <w:rsid w:val="00375751"/>
    <w:rsid w:val="00380310"/>
    <w:rsid w:val="0038267C"/>
    <w:rsid w:val="00382C9D"/>
    <w:rsid w:val="00392FC7"/>
    <w:rsid w:val="003A027C"/>
    <w:rsid w:val="003A0864"/>
    <w:rsid w:val="003A0A26"/>
    <w:rsid w:val="003A1C6D"/>
    <w:rsid w:val="003A3A12"/>
    <w:rsid w:val="003A4750"/>
    <w:rsid w:val="003A70C1"/>
    <w:rsid w:val="003A7701"/>
    <w:rsid w:val="003B08B0"/>
    <w:rsid w:val="003B3610"/>
    <w:rsid w:val="003C4CCC"/>
    <w:rsid w:val="003D11D8"/>
    <w:rsid w:val="003D1F6E"/>
    <w:rsid w:val="003D290C"/>
    <w:rsid w:val="003D4CE0"/>
    <w:rsid w:val="003D5639"/>
    <w:rsid w:val="003D58EC"/>
    <w:rsid w:val="003E0E1C"/>
    <w:rsid w:val="003E1384"/>
    <w:rsid w:val="003E15C6"/>
    <w:rsid w:val="003E22F7"/>
    <w:rsid w:val="003E4975"/>
    <w:rsid w:val="003E4C68"/>
    <w:rsid w:val="003F1B9F"/>
    <w:rsid w:val="003F1C30"/>
    <w:rsid w:val="003F3915"/>
    <w:rsid w:val="003F46E3"/>
    <w:rsid w:val="003F751E"/>
    <w:rsid w:val="004003EF"/>
    <w:rsid w:val="004043FF"/>
    <w:rsid w:val="00404B40"/>
    <w:rsid w:val="00405630"/>
    <w:rsid w:val="004067E5"/>
    <w:rsid w:val="00406DE6"/>
    <w:rsid w:val="00406E1A"/>
    <w:rsid w:val="0041033B"/>
    <w:rsid w:val="00410A37"/>
    <w:rsid w:val="004133E8"/>
    <w:rsid w:val="00414810"/>
    <w:rsid w:val="004166E0"/>
    <w:rsid w:val="00416BF4"/>
    <w:rsid w:val="004178E2"/>
    <w:rsid w:val="004211B2"/>
    <w:rsid w:val="00425D15"/>
    <w:rsid w:val="004275D4"/>
    <w:rsid w:val="004329B7"/>
    <w:rsid w:val="00433881"/>
    <w:rsid w:val="00433DA5"/>
    <w:rsid w:val="00442D0A"/>
    <w:rsid w:val="00453ABE"/>
    <w:rsid w:val="004550C6"/>
    <w:rsid w:val="00457E7B"/>
    <w:rsid w:val="004604C8"/>
    <w:rsid w:val="00460510"/>
    <w:rsid w:val="00460F90"/>
    <w:rsid w:val="00461310"/>
    <w:rsid w:val="0046230F"/>
    <w:rsid w:val="0046407E"/>
    <w:rsid w:val="0046496A"/>
    <w:rsid w:val="0046752B"/>
    <w:rsid w:val="00467748"/>
    <w:rsid w:val="00470471"/>
    <w:rsid w:val="00470502"/>
    <w:rsid w:val="00480407"/>
    <w:rsid w:val="00480649"/>
    <w:rsid w:val="0048386B"/>
    <w:rsid w:val="00483EFA"/>
    <w:rsid w:val="00484BE9"/>
    <w:rsid w:val="004865BD"/>
    <w:rsid w:val="00490080"/>
    <w:rsid w:val="0049105C"/>
    <w:rsid w:val="0049467E"/>
    <w:rsid w:val="00495ADE"/>
    <w:rsid w:val="00496814"/>
    <w:rsid w:val="004A14D8"/>
    <w:rsid w:val="004A15CA"/>
    <w:rsid w:val="004A296B"/>
    <w:rsid w:val="004A2EF7"/>
    <w:rsid w:val="004A3352"/>
    <w:rsid w:val="004A73CD"/>
    <w:rsid w:val="004B408E"/>
    <w:rsid w:val="004B41C7"/>
    <w:rsid w:val="004B759A"/>
    <w:rsid w:val="004D3206"/>
    <w:rsid w:val="004D5240"/>
    <w:rsid w:val="004D5333"/>
    <w:rsid w:val="004D60A3"/>
    <w:rsid w:val="004D6A62"/>
    <w:rsid w:val="004E1D88"/>
    <w:rsid w:val="004E5AC3"/>
    <w:rsid w:val="004F3F33"/>
    <w:rsid w:val="004F69B2"/>
    <w:rsid w:val="00500A52"/>
    <w:rsid w:val="00502BE6"/>
    <w:rsid w:val="0050385B"/>
    <w:rsid w:val="0051060F"/>
    <w:rsid w:val="005139A2"/>
    <w:rsid w:val="005164D8"/>
    <w:rsid w:val="005175FB"/>
    <w:rsid w:val="00520205"/>
    <w:rsid w:val="005236CD"/>
    <w:rsid w:val="0052546C"/>
    <w:rsid w:val="005256E4"/>
    <w:rsid w:val="00526CE6"/>
    <w:rsid w:val="00530D90"/>
    <w:rsid w:val="00531235"/>
    <w:rsid w:val="00531D9A"/>
    <w:rsid w:val="005341DB"/>
    <w:rsid w:val="00537342"/>
    <w:rsid w:val="00544C00"/>
    <w:rsid w:val="00547207"/>
    <w:rsid w:val="0054738D"/>
    <w:rsid w:val="0054753A"/>
    <w:rsid w:val="00555290"/>
    <w:rsid w:val="00556AD7"/>
    <w:rsid w:val="005609C4"/>
    <w:rsid w:val="005615D3"/>
    <w:rsid w:val="00562ECD"/>
    <w:rsid w:val="005658E6"/>
    <w:rsid w:val="00574483"/>
    <w:rsid w:val="005755C5"/>
    <w:rsid w:val="00585824"/>
    <w:rsid w:val="00585FC4"/>
    <w:rsid w:val="005905BB"/>
    <w:rsid w:val="00590950"/>
    <w:rsid w:val="00590F3A"/>
    <w:rsid w:val="00591774"/>
    <w:rsid w:val="005918AC"/>
    <w:rsid w:val="005920D1"/>
    <w:rsid w:val="005920FD"/>
    <w:rsid w:val="0059266A"/>
    <w:rsid w:val="00592ADD"/>
    <w:rsid w:val="005960EE"/>
    <w:rsid w:val="00596136"/>
    <w:rsid w:val="005A0521"/>
    <w:rsid w:val="005A15A5"/>
    <w:rsid w:val="005A1D11"/>
    <w:rsid w:val="005A20B3"/>
    <w:rsid w:val="005A397A"/>
    <w:rsid w:val="005A3BDC"/>
    <w:rsid w:val="005A5917"/>
    <w:rsid w:val="005A7B7D"/>
    <w:rsid w:val="005B1F81"/>
    <w:rsid w:val="005B1FF7"/>
    <w:rsid w:val="005B49F4"/>
    <w:rsid w:val="005B4A73"/>
    <w:rsid w:val="005B5DB5"/>
    <w:rsid w:val="005C188A"/>
    <w:rsid w:val="005C2564"/>
    <w:rsid w:val="005C3BA6"/>
    <w:rsid w:val="005C7370"/>
    <w:rsid w:val="005D0D6C"/>
    <w:rsid w:val="005D14F9"/>
    <w:rsid w:val="005D4F1B"/>
    <w:rsid w:val="005D4F6B"/>
    <w:rsid w:val="005D63FD"/>
    <w:rsid w:val="005D6A60"/>
    <w:rsid w:val="005D7604"/>
    <w:rsid w:val="005D7977"/>
    <w:rsid w:val="005E4270"/>
    <w:rsid w:val="005E44AC"/>
    <w:rsid w:val="005F4023"/>
    <w:rsid w:val="005F4A65"/>
    <w:rsid w:val="005F4F18"/>
    <w:rsid w:val="005F5998"/>
    <w:rsid w:val="005F6D76"/>
    <w:rsid w:val="005F7D61"/>
    <w:rsid w:val="00600865"/>
    <w:rsid w:val="00601FC3"/>
    <w:rsid w:val="006035CB"/>
    <w:rsid w:val="00603881"/>
    <w:rsid w:val="006042F7"/>
    <w:rsid w:val="006048AD"/>
    <w:rsid w:val="0061016A"/>
    <w:rsid w:val="006112AC"/>
    <w:rsid w:val="006128C6"/>
    <w:rsid w:val="00613C6E"/>
    <w:rsid w:val="00616271"/>
    <w:rsid w:val="00616432"/>
    <w:rsid w:val="00617197"/>
    <w:rsid w:val="00617A7D"/>
    <w:rsid w:val="0062264E"/>
    <w:rsid w:val="006226C8"/>
    <w:rsid w:val="00622CF7"/>
    <w:rsid w:val="006237A8"/>
    <w:rsid w:val="00624A1A"/>
    <w:rsid w:val="00631580"/>
    <w:rsid w:val="006325E6"/>
    <w:rsid w:val="00634022"/>
    <w:rsid w:val="00634996"/>
    <w:rsid w:val="00635F4B"/>
    <w:rsid w:val="00643899"/>
    <w:rsid w:val="00645CD3"/>
    <w:rsid w:val="006471D8"/>
    <w:rsid w:val="00652C88"/>
    <w:rsid w:val="00652E18"/>
    <w:rsid w:val="00653A55"/>
    <w:rsid w:val="00654873"/>
    <w:rsid w:val="00655A56"/>
    <w:rsid w:val="00657BAD"/>
    <w:rsid w:val="00662176"/>
    <w:rsid w:val="00663AA6"/>
    <w:rsid w:val="0066441B"/>
    <w:rsid w:val="00664B0D"/>
    <w:rsid w:val="00667007"/>
    <w:rsid w:val="006677FC"/>
    <w:rsid w:val="00667F3A"/>
    <w:rsid w:val="006747E7"/>
    <w:rsid w:val="00675DE5"/>
    <w:rsid w:val="006762E6"/>
    <w:rsid w:val="00676B45"/>
    <w:rsid w:val="00676D68"/>
    <w:rsid w:val="00677921"/>
    <w:rsid w:val="006827FA"/>
    <w:rsid w:val="00682E9F"/>
    <w:rsid w:val="00683905"/>
    <w:rsid w:val="0068687C"/>
    <w:rsid w:val="00691338"/>
    <w:rsid w:val="00696215"/>
    <w:rsid w:val="006A0894"/>
    <w:rsid w:val="006A2553"/>
    <w:rsid w:val="006A47AE"/>
    <w:rsid w:val="006A4A35"/>
    <w:rsid w:val="006A5C03"/>
    <w:rsid w:val="006B0CB3"/>
    <w:rsid w:val="006B161B"/>
    <w:rsid w:val="006B1803"/>
    <w:rsid w:val="006B1D27"/>
    <w:rsid w:val="006B26A7"/>
    <w:rsid w:val="006B3BC2"/>
    <w:rsid w:val="006B3C00"/>
    <w:rsid w:val="006B49E7"/>
    <w:rsid w:val="006B6CC5"/>
    <w:rsid w:val="006C0666"/>
    <w:rsid w:val="006C1783"/>
    <w:rsid w:val="006C3458"/>
    <w:rsid w:val="006C558F"/>
    <w:rsid w:val="006C6BFE"/>
    <w:rsid w:val="006D36A3"/>
    <w:rsid w:val="006D37EE"/>
    <w:rsid w:val="006D3D91"/>
    <w:rsid w:val="006D4BEF"/>
    <w:rsid w:val="006D7744"/>
    <w:rsid w:val="006D77D6"/>
    <w:rsid w:val="006E1EBE"/>
    <w:rsid w:val="006E287C"/>
    <w:rsid w:val="006E3B11"/>
    <w:rsid w:val="006E45C9"/>
    <w:rsid w:val="006F01FA"/>
    <w:rsid w:val="006F26E7"/>
    <w:rsid w:val="006F3560"/>
    <w:rsid w:val="006F5421"/>
    <w:rsid w:val="00701287"/>
    <w:rsid w:val="00701857"/>
    <w:rsid w:val="00702ECE"/>
    <w:rsid w:val="00703B42"/>
    <w:rsid w:val="00704236"/>
    <w:rsid w:val="007049C5"/>
    <w:rsid w:val="00710BA4"/>
    <w:rsid w:val="00714EAC"/>
    <w:rsid w:val="00716443"/>
    <w:rsid w:val="00717728"/>
    <w:rsid w:val="00717CF6"/>
    <w:rsid w:val="00717E68"/>
    <w:rsid w:val="0072067D"/>
    <w:rsid w:val="00724C5E"/>
    <w:rsid w:val="0072648E"/>
    <w:rsid w:val="007276CE"/>
    <w:rsid w:val="00730AA4"/>
    <w:rsid w:val="007317E6"/>
    <w:rsid w:val="0073266A"/>
    <w:rsid w:val="00735AFB"/>
    <w:rsid w:val="00736B27"/>
    <w:rsid w:val="007370D1"/>
    <w:rsid w:val="00737571"/>
    <w:rsid w:val="0074042A"/>
    <w:rsid w:val="0074083D"/>
    <w:rsid w:val="007415A6"/>
    <w:rsid w:val="00743FAB"/>
    <w:rsid w:val="007453A4"/>
    <w:rsid w:val="007471A9"/>
    <w:rsid w:val="0074798B"/>
    <w:rsid w:val="00750F22"/>
    <w:rsid w:val="007535E6"/>
    <w:rsid w:val="00754726"/>
    <w:rsid w:val="0075533B"/>
    <w:rsid w:val="00755A81"/>
    <w:rsid w:val="00755EBF"/>
    <w:rsid w:val="00762468"/>
    <w:rsid w:val="00763133"/>
    <w:rsid w:val="00765CC2"/>
    <w:rsid w:val="00765F61"/>
    <w:rsid w:val="00766D45"/>
    <w:rsid w:val="00766ED0"/>
    <w:rsid w:val="007725F2"/>
    <w:rsid w:val="00773665"/>
    <w:rsid w:val="00774061"/>
    <w:rsid w:val="00774E04"/>
    <w:rsid w:val="00775EFA"/>
    <w:rsid w:val="007760F6"/>
    <w:rsid w:val="00777325"/>
    <w:rsid w:val="00780AA8"/>
    <w:rsid w:val="007819B4"/>
    <w:rsid w:val="00781F42"/>
    <w:rsid w:val="00782A1D"/>
    <w:rsid w:val="00783FA8"/>
    <w:rsid w:val="0078421F"/>
    <w:rsid w:val="00786EE7"/>
    <w:rsid w:val="00793998"/>
    <w:rsid w:val="00794539"/>
    <w:rsid w:val="00794FE2"/>
    <w:rsid w:val="007962E4"/>
    <w:rsid w:val="00796A74"/>
    <w:rsid w:val="007A0A5C"/>
    <w:rsid w:val="007A11B3"/>
    <w:rsid w:val="007A3649"/>
    <w:rsid w:val="007A485A"/>
    <w:rsid w:val="007A792C"/>
    <w:rsid w:val="007B0288"/>
    <w:rsid w:val="007B0AEC"/>
    <w:rsid w:val="007B1C84"/>
    <w:rsid w:val="007B2B80"/>
    <w:rsid w:val="007B6994"/>
    <w:rsid w:val="007C1187"/>
    <w:rsid w:val="007C5C8F"/>
    <w:rsid w:val="007D076F"/>
    <w:rsid w:val="007D25F5"/>
    <w:rsid w:val="007D2BB0"/>
    <w:rsid w:val="007D3AE8"/>
    <w:rsid w:val="007D6DD5"/>
    <w:rsid w:val="007E19D5"/>
    <w:rsid w:val="007E1E5C"/>
    <w:rsid w:val="007E37AE"/>
    <w:rsid w:val="007E6AC6"/>
    <w:rsid w:val="007E77E8"/>
    <w:rsid w:val="007F0F32"/>
    <w:rsid w:val="007F0F66"/>
    <w:rsid w:val="007F38A7"/>
    <w:rsid w:val="007F42AA"/>
    <w:rsid w:val="007F4319"/>
    <w:rsid w:val="007F4436"/>
    <w:rsid w:val="007F48E2"/>
    <w:rsid w:val="007F4A69"/>
    <w:rsid w:val="00800301"/>
    <w:rsid w:val="00800320"/>
    <w:rsid w:val="00800AF8"/>
    <w:rsid w:val="00813F16"/>
    <w:rsid w:val="00814928"/>
    <w:rsid w:val="008150DE"/>
    <w:rsid w:val="00816932"/>
    <w:rsid w:val="00820711"/>
    <w:rsid w:val="00821A7C"/>
    <w:rsid w:val="00822DFB"/>
    <w:rsid w:val="00823583"/>
    <w:rsid w:val="00823E1B"/>
    <w:rsid w:val="00830D8B"/>
    <w:rsid w:val="00831A24"/>
    <w:rsid w:val="00832637"/>
    <w:rsid w:val="0083307D"/>
    <w:rsid w:val="00840054"/>
    <w:rsid w:val="00841A06"/>
    <w:rsid w:val="00844129"/>
    <w:rsid w:val="008453E2"/>
    <w:rsid w:val="0085376B"/>
    <w:rsid w:val="00853A0A"/>
    <w:rsid w:val="00854FC0"/>
    <w:rsid w:val="00860D2C"/>
    <w:rsid w:val="00862FC4"/>
    <w:rsid w:val="00865823"/>
    <w:rsid w:val="008722F4"/>
    <w:rsid w:val="0087256B"/>
    <w:rsid w:val="008776C4"/>
    <w:rsid w:val="0088013D"/>
    <w:rsid w:val="00880816"/>
    <w:rsid w:val="00884D26"/>
    <w:rsid w:val="008850D4"/>
    <w:rsid w:val="008876F1"/>
    <w:rsid w:val="00891D86"/>
    <w:rsid w:val="00894456"/>
    <w:rsid w:val="00897DC2"/>
    <w:rsid w:val="008A19E8"/>
    <w:rsid w:val="008A32DC"/>
    <w:rsid w:val="008A64F1"/>
    <w:rsid w:val="008A7351"/>
    <w:rsid w:val="008B05A6"/>
    <w:rsid w:val="008B1195"/>
    <w:rsid w:val="008B1237"/>
    <w:rsid w:val="008B3667"/>
    <w:rsid w:val="008B4813"/>
    <w:rsid w:val="008B5EF3"/>
    <w:rsid w:val="008C134E"/>
    <w:rsid w:val="008C142B"/>
    <w:rsid w:val="008C5122"/>
    <w:rsid w:val="008D0492"/>
    <w:rsid w:val="008D4DCA"/>
    <w:rsid w:val="008E079E"/>
    <w:rsid w:val="008E3863"/>
    <w:rsid w:val="008E43E6"/>
    <w:rsid w:val="008E5278"/>
    <w:rsid w:val="008E572A"/>
    <w:rsid w:val="008E7913"/>
    <w:rsid w:val="008E7FA9"/>
    <w:rsid w:val="008F1548"/>
    <w:rsid w:val="008F4099"/>
    <w:rsid w:val="008F4549"/>
    <w:rsid w:val="008F75D6"/>
    <w:rsid w:val="008F7661"/>
    <w:rsid w:val="00901C93"/>
    <w:rsid w:val="00901CDC"/>
    <w:rsid w:val="009072EA"/>
    <w:rsid w:val="00911464"/>
    <w:rsid w:val="0091215A"/>
    <w:rsid w:val="00913A82"/>
    <w:rsid w:val="00914100"/>
    <w:rsid w:val="009143EB"/>
    <w:rsid w:val="00917117"/>
    <w:rsid w:val="009209E5"/>
    <w:rsid w:val="00922B60"/>
    <w:rsid w:val="00925062"/>
    <w:rsid w:val="009264FD"/>
    <w:rsid w:val="00927FCE"/>
    <w:rsid w:val="00931756"/>
    <w:rsid w:val="00931FF1"/>
    <w:rsid w:val="009321FC"/>
    <w:rsid w:val="00934AA6"/>
    <w:rsid w:val="00934D51"/>
    <w:rsid w:val="009431BC"/>
    <w:rsid w:val="00945B89"/>
    <w:rsid w:val="00946586"/>
    <w:rsid w:val="009522DE"/>
    <w:rsid w:val="00953708"/>
    <w:rsid w:val="0095447C"/>
    <w:rsid w:val="00955205"/>
    <w:rsid w:val="00956AF8"/>
    <w:rsid w:val="00956EC7"/>
    <w:rsid w:val="00957B76"/>
    <w:rsid w:val="00961BE3"/>
    <w:rsid w:val="00962612"/>
    <w:rsid w:val="009629C8"/>
    <w:rsid w:val="00962AED"/>
    <w:rsid w:val="00963CC9"/>
    <w:rsid w:val="00966A40"/>
    <w:rsid w:val="00967918"/>
    <w:rsid w:val="00971272"/>
    <w:rsid w:val="009727A6"/>
    <w:rsid w:val="00972D79"/>
    <w:rsid w:val="009741E8"/>
    <w:rsid w:val="00975074"/>
    <w:rsid w:val="0097642C"/>
    <w:rsid w:val="00976C39"/>
    <w:rsid w:val="00981DBD"/>
    <w:rsid w:val="009908A8"/>
    <w:rsid w:val="00992D8B"/>
    <w:rsid w:val="00993329"/>
    <w:rsid w:val="00995067"/>
    <w:rsid w:val="00996AE1"/>
    <w:rsid w:val="00996F5F"/>
    <w:rsid w:val="009A0D62"/>
    <w:rsid w:val="009A6FE3"/>
    <w:rsid w:val="009B0410"/>
    <w:rsid w:val="009B3FC5"/>
    <w:rsid w:val="009B509B"/>
    <w:rsid w:val="009B74F1"/>
    <w:rsid w:val="009C3AF3"/>
    <w:rsid w:val="009D3922"/>
    <w:rsid w:val="009D56B8"/>
    <w:rsid w:val="009D5820"/>
    <w:rsid w:val="009D77AD"/>
    <w:rsid w:val="009E19C3"/>
    <w:rsid w:val="009E2483"/>
    <w:rsid w:val="009E4478"/>
    <w:rsid w:val="009E7B66"/>
    <w:rsid w:val="009F1971"/>
    <w:rsid w:val="009F2244"/>
    <w:rsid w:val="009F2F66"/>
    <w:rsid w:val="009F3DDA"/>
    <w:rsid w:val="009F3E52"/>
    <w:rsid w:val="009F3E75"/>
    <w:rsid w:val="009F4408"/>
    <w:rsid w:val="009F7435"/>
    <w:rsid w:val="00A02376"/>
    <w:rsid w:val="00A0357A"/>
    <w:rsid w:val="00A05828"/>
    <w:rsid w:val="00A11C48"/>
    <w:rsid w:val="00A1203B"/>
    <w:rsid w:val="00A208B0"/>
    <w:rsid w:val="00A22B07"/>
    <w:rsid w:val="00A23077"/>
    <w:rsid w:val="00A32E2D"/>
    <w:rsid w:val="00A40BA1"/>
    <w:rsid w:val="00A41783"/>
    <w:rsid w:val="00A41848"/>
    <w:rsid w:val="00A41B37"/>
    <w:rsid w:val="00A46C15"/>
    <w:rsid w:val="00A569E6"/>
    <w:rsid w:val="00A602B7"/>
    <w:rsid w:val="00A607EA"/>
    <w:rsid w:val="00A60B17"/>
    <w:rsid w:val="00A65ADE"/>
    <w:rsid w:val="00A7064F"/>
    <w:rsid w:val="00A71DD0"/>
    <w:rsid w:val="00A76F07"/>
    <w:rsid w:val="00A825FE"/>
    <w:rsid w:val="00A85684"/>
    <w:rsid w:val="00A85943"/>
    <w:rsid w:val="00A8701D"/>
    <w:rsid w:val="00A874E9"/>
    <w:rsid w:val="00A915A7"/>
    <w:rsid w:val="00A92ED2"/>
    <w:rsid w:val="00A9399A"/>
    <w:rsid w:val="00A94C52"/>
    <w:rsid w:val="00A95022"/>
    <w:rsid w:val="00A97505"/>
    <w:rsid w:val="00AA07B7"/>
    <w:rsid w:val="00AA20E9"/>
    <w:rsid w:val="00AA5DCC"/>
    <w:rsid w:val="00AA76DF"/>
    <w:rsid w:val="00AB02CE"/>
    <w:rsid w:val="00AB132A"/>
    <w:rsid w:val="00AB1C98"/>
    <w:rsid w:val="00AB4B72"/>
    <w:rsid w:val="00AB58DB"/>
    <w:rsid w:val="00AB67D3"/>
    <w:rsid w:val="00AB6A32"/>
    <w:rsid w:val="00AB71DD"/>
    <w:rsid w:val="00AB7CB2"/>
    <w:rsid w:val="00AC1EB0"/>
    <w:rsid w:val="00AC3F6C"/>
    <w:rsid w:val="00AC5CDB"/>
    <w:rsid w:val="00AC619D"/>
    <w:rsid w:val="00AD0979"/>
    <w:rsid w:val="00AD2EA7"/>
    <w:rsid w:val="00AD5892"/>
    <w:rsid w:val="00AE422C"/>
    <w:rsid w:val="00AF6864"/>
    <w:rsid w:val="00AF7012"/>
    <w:rsid w:val="00B02C2E"/>
    <w:rsid w:val="00B03655"/>
    <w:rsid w:val="00B03857"/>
    <w:rsid w:val="00B04C00"/>
    <w:rsid w:val="00B0604C"/>
    <w:rsid w:val="00B1080F"/>
    <w:rsid w:val="00B1096B"/>
    <w:rsid w:val="00B110A7"/>
    <w:rsid w:val="00B12154"/>
    <w:rsid w:val="00B1474B"/>
    <w:rsid w:val="00B171A2"/>
    <w:rsid w:val="00B179A3"/>
    <w:rsid w:val="00B17FE6"/>
    <w:rsid w:val="00B20651"/>
    <w:rsid w:val="00B23CCF"/>
    <w:rsid w:val="00B24444"/>
    <w:rsid w:val="00B30412"/>
    <w:rsid w:val="00B321D8"/>
    <w:rsid w:val="00B3323A"/>
    <w:rsid w:val="00B34180"/>
    <w:rsid w:val="00B3507D"/>
    <w:rsid w:val="00B379D6"/>
    <w:rsid w:val="00B417B2"/>
    <w:rsid w:val="00B45E08"/>
    <w:rsid w:val="00B47A01"/>
    <w:rsid w:val="00B52E63"/>
    <w:rsid w:val="00B54D00"/>
    <w:rsid w:val="00B54E6A"/>
    <w:rsid w:val="00B554B2"/>
    <w:rsid w:val="00B56C75"/>
    <w:rsid w:val="00B6144C"/>
    <w:rsid w:val="00B629DA"/>
    <w:rsid w:val="00B63FF6"/>
    <w:rsid w:val="00B67870"/>
    <w:rsid w:val="00B7032A"/>
    <w:rsid w:val="00B71866"/>
    <w:rsid w:val="00B72451"/>
    <w:rsid w:val="00B725AD"/>
    <w:rsid w:val="00B75E72"/>
    <w:rsid w:val="00B806BB"/>
    <w:rsid w:val="00B84E69"/>
    <w:rsid w:val="00B8697A"/>
    <w:rsid w:val="00B86B2A"/>
    <w:rsid w:val="00B94E71"/>
    <w:rsid w:val="00B962AF"/>
    <w:rsid w:val="00B967FD"/>
    <w:rsid w:val="00BA15D1"/>
    <w:rsid w:val="00BA2C6F"/>
    <w:rsid w:val="00BA572C"/>
    <w:rsid w:val="00BB00C2"/>
    <w:rsid w:val="00BB15B7"/>
    <w:rsid w:val="00BB28A6"/>
    <w:rsid w:val="00BB4A45"/>
    <w:rsid w:val="00BB5A58"/>
    <w:rsid w:val="00BB6242"/>
    <w:rsid w:val="00BB65FD"/>
    <w:rsid w:val="00BC2274"/>
    <w:rsid w:val="00BC4B7F"/>
    <w:rsid w:val="00BC6C87"/>
    <w:rsid w:val="00BC6E3A"/>
    <w:rsid w:val="00BC6E65"/>
    <w:rsid w:val="00BD0300"/>
    <w:rsid w:val="00BD390A"/>
    <w:rsid w:val="00BD5A42"/>
    <w:rsid w:val="00BE278B"/>
    <w:rsid w:val="00BE4A49"/>
    <w:rsid w:val="00BE5337"/>
    <w:rsid w:val="00BF2AF7"/>
    <w:rsid w:val="00BF4F83"/>
    <w:rsid w:val="00C034EE"/>
    <w:rsid w:val="00C05A23"/>
    <w:rsid w:val="00C146A2"/>
    <w:rsid w:val="00C1617D"/>
    <w:rsid w:val="00C16A46"/>
    <w:rsid w:val="00C16E9B"/>
    <w:rsid w:val="00C20DB0"/>
    <w:rsid w:val="00C233E2"/>
    <w:rsid w:val="00C23EA7"/>
    <w:rsid w:val="00C2401D"/>
    <w:rsid w:val="00C24645"/>
    <w:rsid w:val="00C318E5"/>
    <w:rsid w:val="00C326AA"/>
    <w:rsid w:val="00C343DE"/>
    <w:rsid w:val="00C36674"/>
    <w:rsid w:val="00C4155C"/>
    <w:rsid w:val="00C4181D"/>
    <w:rsid w:val="00C43922"/>
    <w:rsid w:val="00C462EA"/>
    <w:rsid w:val="00C47415"/>
    <w:rsid w:val="00C510BB"/>
    <w:rsid w:val="00C51BEA"/>
    <w:rsid w:val="00C52561"/>
    <w:rsid w:val="00C566A3"/>
    <w:rsid w:val="00C57441"/>
    <w:rsid w:val="00C60F93"/>
    <w:rsid w:val="00C61325"/>
    <w:rsid w:val="00C619E8"/>
    <w:rsid w:val="00C6325F"/>
    <w:rsid w:val="00C644A6"/>
    <w:rsid w:val="00C6779C"/>
    <w:rsid w:val="00C70AD9"/>
    <w:rsid w:val="00C72EDA"/>
    <w:rsid w:val="00C7307A"/>
    <w:rsid w:val="00C7621E"/>
    <w:rsid w:val="00C8322E"/>
    <w:rsid w:val="00C84EB0"/>
    <w:rsid w:val="00C8630C"/>
    <w:rsid w:val="00C86A22"/>
    <w:rsid w:val="00C87F88"/>
    <w:rsid w:val="00C905E4"/>
    <w:rsid w:val="00C9084A"/>
    <w:rsid w:val="00C928B1"/>
    <w:rsid w:val="00C930AD"/>
    <w:rsid w:val="00C93C30"/>
    <w:rsid w:val="00C943C8"/>
    <w:rsid w:val="00C9493E"/>
    <w:rsid w:val="00C95726"/>
    <w:rsid w:val="00C969D7"/>
    <w:rsid w:val="00C972A7"/>
    <w:rsid w:val="00CA0714"/>
    <w:rsid w:val="00CA0D17"/>
    <w:rsid w:val="00CA10C8"/>
    <w:rsid w:val="00CA2A57"/>
    <w:rsid w:val="00CA2AD7"/>
    <w:rsid w:val="00CA3179"/>
    <w:rsid w:val="00CA426F"/>
    <w:rsid w:val="00CA5145"/>
    <w:rsid w:val="00CB0640"/>
    <w:rsid w:val="00CC33F2"/>
    <w:rsid w:val="00CC449F"/>
    <w:rsid w:val="00CD39BD"/>
    <w:rsid w:val="00CD510D"/>
    <w:rsid w:val="00CD6ED5"/>
    <w:rsid w:val="00CD7B01"/>
    <w:rsid w:val="00CE012E"/>
    <w:rsid w:val="00CE2906"/>
    <w:rsid w:val="00CE5243"/>
    <w:rsid w:val="00CE7849"/>
    <w:rsid w:val="00CE7B36"/>
    <w:rsid w:val="00CE7B81"/>
    <w:rsid w:val="00CF5585"/>
    <w:rsid w:val="00CF5DE3"/>
    <w:rsid w:val="00D01D96"/>
    <w:rsid w:val="00D04999"/>
    <w:rsid w:val="00D0665D"/>
    <w:rsid w:val="00D118B6"/>
    <w:rsid w:val="00D12B0B"/>
    <w:rsid w:val="00D133C1"/>
    <w:rsid w:val="00D15986"/>
    <w:rsid w:val="00D15D17"/>
    <w:rsid w:val="00D17C70"/>
    <w:rsid w:val="00D20359"/>
    <w:rsid w:val="00D20A79"/>
    <w:rsid w:val="00D20FB4"/>
    <w:rsid w:val="00D21CBD"/>
    <w:rsid w:val="00D26FB4"/>
    <w:rsid w:val="00D323B0"/>
    <w:rsid w:val="00D33A29"/>
    <w:rsid w:val="00D41290"/>
    <w:rsid w:val="00D41EEF"/>
    <w:rsid w:val="00D4217A"/>
    <w:rsid w:val="00D5046B"/>
    <w:rsid w:val="00D50EB4"/>
    <w:rsid w:val="00D5261A"/>
    <w:rsid w:val="00D53C5D"/>
    <w:rsid w:val="00D54386"/>
    <w:rsid w:val="00D5500A"/>
    <w:rsid w:val="00D55637"/>
    <w:rsid w:val="00D573B6"/>
    <w:rsid w:val="00D57D23"/>
    <w:rsid w:val="00D60DAC"/>
    <w:rsid w:val="00D62C4C"/>
    <w:rsid w:val="00D644F1"/>
    <w:rsid w:val="00D65025"/>
    <w:rsid w:val="00D658B4"/>
    <w:rsid w:val="00D665C6"/>
    <w:rsid w:val="00D665DD"/>
    <w:rsid w:val="00D717BC"/>
    <w:rsid w:val="00D71FA1"/>
    <w:rsid w:val="00D72137"/>
    <w:rsid w:val="00D72351"/>
    <w:rsid w:val="00D75B70"/>
    <w:rsid w:val="00D75E06"/>
    <w:rsid w:val="00D76DA0"/>
    <w:rsid w:val="00D77080"/>
    <w:rsid w:val="00D836CE"/>
    <w:rsid w:val="00D8631F"/>
    <w:rsid w:val="00D90470"/>
    <w:rsid w:val="00D93BF3"/>
    <w:rsid w:val="00D9738E"/>
    <w:rsid w:val="00DA1AD9"/>
    <w:rsid w:val="00DA4C96"/>
    <w:rsid w:val="00DA6412"/>
    <w:rsid w:val="00DA7BCA"/>
    <w:rsid w:val="00DB1DC3"/>
    <w:rsid w:val="00DB20E3"/>
    <w:rsid w:val="00DB23A6"/>
    <w:rsid w:val="00DB2758"/>
    <w:rsid w:val="00DB37E4"/>
    <w:rsid w:val="00DD0CDB"/>
    <w:rsid w:val="00DD1690"/>
    <w:rsid w:val="00DF2296"/>
    <w:rsid w:val="00DF750F"/>
    <w:rsid w:val="00E04006"/>
    <w:rsid w:val="00E10792"/>
    <w:rsid w:val="00E11BF5"/>
    <w:rsid w:val="00E1229C"/>
    <w:rsid w:val="00E17650"/>
    <w:rsid w:val="00E217AD"/>
    <w:rsid w:val="00E23648"/>
    <w:rsid w:val="00E23FAA"/>
    <w:rsid w:val="00E260AA"/>
    <w:rsid w:val="00E3149E"/>
    <w:rsid w:val="00E31CE9"/>
    <w:rsid w:val="00E334A2"/>
    <w:rsid w:val="00E360D5"/>
    <w:rsid w:val="00E37335"/>
    <w:rsid w:val="00E37613"/>
    <w:rsid w:val="00E37CD3"/>
    <w:rsid w:val="00E44860"/>
    <w:rsid w:val="00E609C8"/>
    <w:rsid w:val="00E63F52"/>
    <w:rsid w:val="00E66804"/>
    <w:rsid w:val="00E67D49"/>
    <w:rsid w:val="00E73476"/>
    <w:rsid w:val="00E77673"/>
    <w:rsid w:val="00E816F2"/>
    <w:rsid w:val="00E8522D"/>
    <w:rsid w:val="00E86489"/>
    <w:rsid w:val="00E91E51"/>
    <w:rsid w:val="00E92FD0"/>
    <w:rsid w:val="00E93676"/>
    <w:rsid w:val="00E94AAE"/>
    <w:rsid w:val="00EA0AE0"/>
    <w:rsid w:val="00EA2E91"/>
    <w:rsid w:val="00EA3AB8"/>
    <w:rsid w:val="00EA7196"/>
    <w:rsid w:val="00EB07E7"/>
    <w:rsid w:val="00EB0DAF"/>
    <w:rsid w:val="00EB2C5D"/>
    <w:rsid w:val="00EB2DC8"/>
    <w:rsid w:val="00EB4B09"/>
    <w:rsid w:val="00EB52BD"/>
    <w:rsid w:val="00EB55BA"/>
    <w:rsid w:val="00EB5FF6"/>
    <w:rsid w:val="00EB6014"/>
    <w:rsid w:val="00EB6ED7"/>
    <w:rsid w:val="00EC05DF"/>
    <w:rsid w:val="00EC0EDC"/>
    <w:rsid w:val="00EC17DA"/>
    <w:rsid w:val="00EC5097"/>
    <w:rsid w:val="00EC7244"/>
    <w:rsid w:val="00ED5755"/>
    <w:rsid w:val="00ED5C94"/>
    <w:rsid w:val="00EE0D18"/>
    <w:rsid w:val="00EE1FCC"/>
    <w:rsid w:val="00EE2132"/>
    <w:rsid w:val="00EE3400"/>
    <w:rsid w:val="00EE3470"/>
    <w:rsid w:val="00EF0996"/>
    <w:rsid w:val="00EF0C14"/>
    <w:rsid w:val="00EF1B53"/>
    <w:rsid w:val="00EF1CF4"/>
    <w:rsid w:val="00EF1FCD"/>
    <w:rsid w:val="00EF3CE8"/>
    <w:rsid w:val="00EF43BB"/>
    <w:rsid w:val="00EF4981"/>
    <w:rsid w:val="00EF6963"/>
    <w:rsid w:val="00EF6A33"/>
    <w:rsid w:val="00F04D5E"/>
    <w:rsid w:val="00F0513F"/>
    <w:rsid w:val="00F06676"/>
    <w:rsid w:val="00F07060"/>
    <w:rsid w:val="00F07177"/>
    <w:rsid w:val="00F07D2D"/>
    <w:rsid w:val="00F1230F"/>
    <w:rsid w:val="00F14053"/>
    <w:rsid w:val="00F20F8C"/>
    <w:rsid w:val="00F21365"/>
    <w:rsid w:val="00F2276A"/>
    <w:rsid w:val="00F22F88"/>
    <w:rsid w:val="00F24C5F"/>
    <w:rsid w:val="00F2520B"/>
    <w:rsid w:val="00F267B5"/>
    <w:rsid w:val="00F2741D"/>
    <w:rsid w:val="00F35092"/>
    <w:rsid w:val="00F35D64"/>
    <w:rsid w:val="00F36B4D"/>
    <w:rsid w:val="00F408D5"/>
    <w:rsid w:val="00F46B80"/>
    <w:rsid w:val="00F505B6"/>
    <w:rsid w:val="00F55F95"/>
    <w:rsid w:val="00F56ECD"/>
    <w:rsid w:val="00F57B4A"/>
    <w:rsid w:val="00F63A4F"/>
    <w:rsid w:val="00F65D0F"/>
    <w:rsid w:val="00F67CB0"/>
    <w:rsid w:val="00F71215"/>
    <w:rsid w:val="00F71525"/>
    <w:rsid w:val="00F7167D"/>
    <w:rsid w:val="00F7233E"/>
    <w:rsid w:val="00F735F1"/>
    <w:rsid w:val="00F7648B"/>
    <w:rsid w:val="00F764DF"/>
    <w:rsid w:val="00F823D8"/>
    <w:rsid w:val="00F82794"/>
    <w:rsid w:val="00F82EEC"/>
    <w:rsid w:val="00F82FF0"/>
    <w:rsid w:val="00F8352D"/>
    <w:rsid w:val="00F85D4E"/>
    <w:rsid w:val="00F8756B"/>
    <w:rsid w:val="00F92884"/>
    <w:rsid w:val="00F931E3"/>
    <w:rsid w:val="00F97DE7"/>
    <w:rsid w:val="00FA0D67"/>
    <w:rsid w:val="00FA0FEB"/>
    <w:rsid w:val="00FA301E"/>
    <w:rsid w:val="00FA36E2"/>
    <w:rsid w:val="00FA42E9"/>
    <w:rsid w:val="00FA4D14"/>
    <w:rsid w:val="00FA510E"/>
    <w:rsid w:val="00FA7715"/>
    <w:rsid w:val="00FB0AB8"/>
    <w:rsid w:val="00FB377A"/>
    <w:rsid w:val="00FB444C"/>
    <w:rsid w:val="00FB44B5"/>
    <w:rsid w:val="00FB5199"/>
    <w:rsid w:val="00FB5AD4"/>
    <w:rsid w:val="00FB6110"/>
    <w:rsid w:val="00FC0507"/>
    <w:rsid w:val="00FC3E4C"/>
    <w:rsid w:val="00FC497D"/>
    <w:rsid w:val="00FD2CE3"/>
    <w:rsid w:val="00FD2DF8"/>
    <w:rsid w:val="00FD3B7E"/>
    <w:rsid w:val="00FE6953"/>
    <w:rsid w:val="00FE7257"/>
    <w:rsid w:val="00FE7866"/>
    <w:rsid w:val="00FE7FA1"/>
    <w:rsid w:val="00FF0134"/>
    <w:rsid w:val="00FF1DFA"/>
    <w:rsid w:val="00FF2419"/>
    <w:rsid w:val="00FF30E9"/>
    <w:rsid w:val="00FF5656"/>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61E7"/>
  <w15:docId w15:val="{5632ECE4-B3F8-4ECB-88CE-5A2ECABE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7B"/>
    <w:pPr>
      <w:spacing w:after="200" w:line="276" w:lineRule="auto"/>
    </w:pPr>
    <w:rPr>
      <w:rFonts w:eastAsiaTheme="minorEastAsia"/>
    </w:rPr>
  </w:style>
  <w:style w:type="paragraph" w:styleId="Heading1">
    <w:name w:val="heading 1"/>
    <w:basedOn w:val="Normal"/>
    <w:next w:val="Normal"/>
    <w:link w:val="Heading1Char"/>
    <w:uiPriority w:val="9"/>
    <w:qFormat/>
    <w:rsid w:val="002B5A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00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3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66A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B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C2401D"/>
    <w:pPr>
      <w:ind w:left="720"/>
      <w:contextualSpacing/>
    </w:pPr>
  </w:style>
  <w:style w:type="character" w:customStyle="1" w:styleId="Heading3Char">
    <w:name w:val="Heading 3 Char"/>
    <w:basedOn w:val="DefaultParagraphFont"/>
    <w:link w:val="Heading3"/>
    <w:uiPriority w:val="9"/>
    <w:rsid w:val="004D32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3206"/>
    <w:rPr>
      <w:color w:val="0000FF"/>
      <w:u w:val="single"/>
    </w:rPr>
  </w:style>
  <w:style w:type="character" w:customStyle="1" w:styleId="Heading4Char">
    <w:name w:val="Heading 4 Char"/>
    <w:basedOn w:val="DefaultParagraphFont"/>
    <w:link w:val="Heading4"/>
    <w:rsid w:val="00966A40"/>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9F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E4"/>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49008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1310"/>
    <w:pPr>
      <w:tabs>
        <w:tab w:val="center" w:pos="4844"/>
        <w:tab w:val="right" w:pos="9689"/>
      </w:tabs>
      <w:spacing w:after="0" w:line="240" w:lineRule="auto"/>
    </w:pPr>
  </w:style>
  <w:style w:type="character" w:customStyle="1" w:styleId="HeaderChar">
    <w:name w:val="Header Char"/>
    <w:basedOn w:val="DefaultParagraphFont"/>
    <w:link w:val="Header"/>
    <w:uiPriority w:val="99"/>
    <w:rsid w:val="00461310"/>
    <w:rPr>
      <w:rFonts w:eastAsiaTheme="minorEastAsia"/>
    </w:rPr>
  </w:style>
  <w:style w:type="paragraph" w:styleId="Footer">
    <w:name w:val="footer"/>
    <w:basedOn w:val="Normal"/>
    <w:link w:val="FooterChar"/>
    <w:uiPriority w:val="99"/>
    <w:unhideWhenUsed/>
    <w:rsid w:val="00461310"/>
    <w:pPr>
      <w:tabs>
        <w:tab w:val="center" w:pos="4844"/>
        <w:tab w:val="right" w:pos="9689"/>
      </w:tabs>
      <w:spacing w:after="0" w:line="240" w:lineRule="auto"/>
    </w:pPr>
  </w:style>
  <w:style w:type="character" w:customStyle="1" w:styleId="FooterChar">
    <w:name w:val="Footer Char"/>
    <w:basedOn w:val="DefaultParagraphFont"/>
    <w:link w:val="Footer"/>
    <w:uiPriority w:val="99"/>
    <w:rsid w:val="00461310"/>
    <w:rPr>
      <w:rFonts w:eastAsiaTheme="minorEastAsia"/>
    </w:rPr>
  </w:style>
  <w:style w:type="character" w:customStyle="1" w:styleId="Nierozpoznanawzmianka1">
    <w:name w:val="Nierozpoznana wzmianka1"/>
    <w:basedOn w:val="DefaultParagraphFont"/>
    <w:uiPriority w:val="99"/>
    <w:semiHidden/>
    <w:unhideWhenUsed/>
    <w:rsid w:val="00993329"/>
    <w:rPr>
      <w:color w:val="605E5C"/>
      <w:shd w:val="clear" w:color="auto" w:fill="E1DFDD"/>
    </w:rPr>
  </w:style>
  <w:style w:type="character" w:styleId="CommentReference">
    <w:name w:val="annotation reference"/>
    <w:basedOn w:val="DefaultParagraphFont"/>
    <w:uiPriority w:val="99"/>
    <w:unhideWhenUsed/>
    <w:qFormat/>
    <w:rsid w:val="000E6536"/>
    <w:rPr>
      <w:sz w:val="16"/>
      <w:szCs w:val="16"/>
    </w:rPr>
  </w:style>
  <w:style w:type="paragraph" w:styleId="CommentText">
    <w:name w:val="annotation text"/>
    <w:aliases w:val="ct,Used by Word for text of author queries"/>
    <w:basedOn w:val="Normal"/>
    <w:link w:val="CommentTextChar"/>
    <w:uiPriority w:val="99"/>
    <w:unhideWhenUsed/>
    <w:qFormat/>
    <w:rsid w:val="000E6536"/>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uiPriority w:val="99"/>
    <w:qFormat/>
    <w:rsid w:val="000E65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E6536"/>
    <w:rPr>
      <w:b/>
      <w:bCs/>
    </w:rPr>
  </w:style>
  <w:style w:type="character" w:customStyle="1" w:styleId="CommentSubjectChar">
    <w:name w:val="Comment Subject Char"/>
    <w:basedOn w:val="CommentTextChar"/>
    <w:link w:val="CommentSubject"/>
    <w:uiPriority w:val="99"/>
    <w:semiHidden/>
    <w:rsid w:val="000E6536"/>
    <w:rPr>
      <w:rFonts w:eastAsiaTheme="minorEastAsia"/>
      <w:b/>
      <w:bCs/>
      <w:sz w:val="20"/>
      <w:szCs w:val="20"/>
    </w:rPr>
  </w:style>
  <w:style w:type="paragraph" w:customStyle="1" w:styleId="Text2">
    <w:name w:val="Text 2"/>
    <w:basedOn w:val="Normal"/>
    <w:rsid w:val="002B5AAC"/>
    <w:pPr>
      <w:tabs>
        <w:tab w:val="left" w:pos="2161"/>
      </w:tabs>
      <w:spacing w:after="240" w:line="240" w:lineRule="auto"/>
      <w:ind w:left="1077"/>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2B5AAC"/>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link w:val="ListParagraph"/>
    <w:uiPriority w:val="34"/>
    <w:locked/>
    <w:rsid w:val="00111CCC"/>
    <w:rPr>
      <w:rFonts w:eastAsiaTheme="minorEastAsia"/>
    </w:rPr>
  </w:style>
  <w:style w:type="paragraph" w:customStyle="1" w:styleId="Text4">
    <w:name w:val="Text 4"/>
    <w:basedOn w:val="Normal"/>
    <w:rsid w:val="002C1475"/>
    <w:pPr>
      <w:spacing w:after="240" w:line="240" w:lineRule="auto"/>
      <w:ind w:left="2880"/>
    </w:pPr>
    <w:rPr>
      <w:rFonts w:ascii="Times New Roman" w:eastAsia="Times New Roman" w:hAnsi="Times New Roman" w:cs="Times New Roman"/>
      <w:sz w:val="24"/>
      <w:szCs w:val="20"/>
      <w:lang w:val="en-GB"/>
    </w:rPr>
  </w:style>
  <w:style w:type="paragraph" w:customStyle="1" w:styleId="Text1">
    <w:name w:val="Text 1"/>
    <w:basedOn w:val="Normal"/>
    <w:rsid w:val="003622B0"/>
    <w:pPr>
      <w:spacing w:after="240" w:line="240" w:lineRule="auto"/>
      <w:ind w:left="483"/>
    </w:pPr>
    <w:rPr>
      <w:rFonts w:ascii="Times New Roman" w:eastAsia="Times New Roman" w:hAnsi="Times New Roman" w:cs="Times New Roman"/>
      <w:sz w:val="24"/>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Char2"/>
    <w:unhideWhenUsed/>
    <w:qFormat/>
    <w:rsid w:val="003A7701"/>
    <w:rPr>
      <w:vertAlign w:val="superscript"/>
    </w:rPr>
  </w:style>
  <w:style w:type="paragraph" w:customStyle="1" w:styleId="Char2">
    <w:name w:val="Char2"/>
    <w:basedOn w:val="Normal"/>
    <w:link w:val="FootnoteReference"/>
    <w:rsid w:val="003A7701"/>
    <w:pPr>
      <w:spacing w:after="160" w:line="240" w:lineRule="exact"/>
    </w:pPr>
    <w:rPr>
      <w:rFonts w:eastAsiaTheme="minorHAnsi"/>
      <w:vertAlign w:val="superscript"/>
    </w:rPr>
  </w:style>
  <w:style w:type="paragraph" w:styleId="TOCHeading">
    <w:name w:val="TOC Heading"/>
    <w:basedOn w:val="Heading1"/>
    <w:next w:val="Normal"/>
    <w:uiPriority w:val="39"/>
    <w:unhideWhenUsed/>
    <w:qFormat/>
    <w:rsid w:val="00D71FA1"/>
    <w:pPr>
      <w:spacing w:before="240" w:line="259" w:lineRule="auto"/>
      <w:outlineLvl w:val="9"/>
    </w:pPr>
    <w:rPr>
      <w:b w:val="0"/>
      <w:bCs w:val="0"/>
      <w:sz w:val="32"/>
      <w:szCs w:val="32"/>
    </w:rPr>
  </w:style>
  <w:style w:type="character" w:customStyle="1" w:styleId="jlqj4b">
    <w:name w:val="jlqj4b"/>
    <w:basedOn w:val="DefaultParagraphFont"/>
    <w:rsid w:val="003B3610"/>
  </w:style>
  <w:style w:type="character" w:styleId="FollowedHyperlink">
    <w:name w:val="FollowedHyperlink"/>
    <w:basedOn w:val="DefaultParagraphFont"/>
    <w:uiPriority w:val="99"/>
    <w:semiHidden/>
    <w:unhideWhenUsed/>
    <w:rsid w:val="009D77AD"/>
    <w:rPr>
      <w:color w:val="954F72" w:themeColor="followedHyperlink"/>
      <w:u w:val="single"/>
    </w:rPr>
  </w:style>
  <w:style w:type="paragraph" w:styleId="Revision">
    <w:name w:val="Revision"/>
    <w:hidden/>
    <w:uiPriority w:val="99"/>
    <w:semiHidden/>
    <w:rsid w:val="00C7621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241">
      <w:bodyDiv w:val="1"/>
      <w:marLeft w:val="0"/>
      <w:marRight w:val="0"/>
      <w:marTop w:val="0"/>
      <w:marBottom w:val="0"/>
      <w:divBdr>
        <w:top w:val="none" w:sz="0" w:space="0" w:color="auto"/>
        <w:left w:val="none" w:sz="0" w:space="0" w:color="auto"/>
        <w:bottom w:val="none" w:sz="0" w:space="0" w:color="auto"/>
        <w:right w:val="none" w:sz="0" w:space="0" w:color="auto"/>
      </w:divBdr>
    </w:div>
    <w:div w:id="145325901">
      <w:bodyDiv w:val="1"/>
      <w:marLeft w:val="0"/>
      <w:marRight w:val="0"/>
      <w:marTop w:val="0"/>
      <w:marBottom w:val="0"/>
      <w:divBdr>
        <w:top w:val="none" w:sz="0" w:space="0" w:color="auto"/>
        <w:left w:val="none" w:sz="0" w:space="0" w:color="auto"/>
        <w:bottom w:val="none" w:sz="0" w:space="0" w:color="auto"/>
        <w:right w:val="none" w:sz="0" w:space="0" w:color="auto"/>
      </w:divBdr>
    </w:div>
    <w:div w:id="145517056">
      <w:bodyDiv w:val="1"/>
      <w:marLeft w:val="0"/>
      <w:marRight w:val="0"/>
      <w:marTop w:val="0"/>
      <w:marBottom w:val="0"/>
      <w:divBdr>
        <w:top w:val="none" w:sz="0" w:space="0" w:color="auto"/>
        <w:left w:val="none" w:sz="0" w:space="0" w:color="auto"/>
        <w:bottom w:val="none" w:sz="0" w:space="0" w:color="auto"/>
        <w:right w:val="none" w:sz="0" w:space="0" w:color="auto"/>
      </w:divBdr>
    </w:div>
    <w:div w:id="146481415">
      <w:bodyDiv w:val="1"/>
      <w:marLeft w:val="0"/>
      <w:marRight w:val="0"/>
      <w:marTop w:val="0"/>
      <w:marBottom w:val="0"/>
      <w:divBdr>
        <w:top w:val="none" w:sz="0" w:space="0" w:color="auto"/>
        <w:left w:val="none" w:sz="0" w:space="0" w:color="auto"/>
        <w:bottom w:val="none" w:sz="0" w:space="0" w:color="auto"/>
        <w:right w:val="none" w:sz="0" w:space="0" w:color="auto"/>
      </w:divBdr>
    </w:div>
    <w:div w:id="291718026">
      <w:bodyDiv w:val="1"/>
      <w:marLeft w:val="0"/>
      <w:marRight w:val="0"/>
      <w:marTop w:val="0"/>
      <w:marBottom w:val="0"/>
      <w:divBdr>
        <w:top w:val="none" w:sz="0" w:space="0" w:color="auto"/>
        <w:left w:val="none" w:sz="0" w:space="0" w:color="auto"/>
        <w:bottom w:val="none" w:sz="0" w:space="0" w:color="auto"/>
        <w:right w:val="none" w:sz="0" w:space="0" w:color="auto"/>
      </w:divBdr>
    </w:div>
    <w:div w:id="378477811">
      <w:bodyDiv w:val="1"/>
      <w:marLeft w:val="0"/>
      <w:marRight w:val="0"/>
      <w:marTop w:val="0"/>
      <w:marBottom w:val="0"/>
      <w:divBdr>
        <w:top w:val="none" w:sz="0" w:space="0" w:color="auto"/>
        <w:left w:val="none" w:sz="0" w:space="0" w:color="auto"/>
        <w:bottom w:val="none" w:sz="0" w:space="0" w:color="auto"/>
        <w:right w:val="none" w:sz="0" w:space="0" w:color="auto"/>
      </w:divBdr>
    </w:div>
    <w:div w:id="631061601">
      <w:bodyDiv w:val="1"/>
      <w:marLeft w:val="0"/>
      <w:marRight w:val="0"/>
      <w:marTop w:val="0"/>
      <w:marBottom w:val="0"/>
      <w:divBdr>
        <w:top w:val="none" w:sz="0" w:space="0" w:color="auto"/>
        <w:left w:val="none" w:sz="0" w:space="0" w:color="auto"/>
        <w:bottom w:val="none" w:sz="0" w:space="0" w:color="auto"/>
        <w:right w:val="none" w:sz="0" w:space="0" w:color="auto"/>
      </w:divBdr>
    </w:div>
    <w:div w:id="670333937">
      <w:bodyDiv w:val="1"/>
      <w:marLeft w:val="0"/>
      <w:marRight w:val="0"/>
      <w:marTop w:val="0"/>
      <w:marBottom w:val="0"/>
      <w:divBdr>
        <w:top w:val="none" w:sz="0" w:space="0" w:color="auto"/>
        <w:left w:val="none" w:sz="0" w:space="0" w:color="auto"/>
        <w:bottom w:val="none" w:sz="0" w:space="0" w:color="auto"/>
        <w:right w:val="none" w:sz="0" w:space="0" w:color="auto"/>
      </w:divBdr>
    </w:div>
    <w:div w:id="855577224">
      <w:bodyDiv w:val="1"/>
      <w:marLeft w:val="0"/>
      <w:marRight w:val="0"/>
      <w:marTop w:val="0"/>
      <w:marBottom w:val="0"/>
      <w:divBdr>
        <w:top w:val="none" w:sz="0" w:space="0" w:color="auto"/>
        <w:left w:val="none" w:sz="0" w:space="0" w:color="auto"/>
        <w:bottom w:val="none" w:sz="0" w:space="0" w:color="auto"/>
        <w:right w:val="none" w:sz="0" w:space="0" w:color="auto"/>
      </w:divBdr>
    </w:div>
    <w:div w:id="901410870">
      <w:bodyDiv w:val="1"/>
      <w:marLeft w:val="0"/>
      <w:marRight w:val="0"/>
      <w:marTop w:val="0"/>
      <w:marBottom w:val="0"/>
      <w:divBdr>
        <w:top w:val="none" w:sz="0" w:space="0" w:color="auto"/>
        <w:left w:val="none" w:sz="0" w:space="0" w:color="auto"/>
        <w:bottom w:val="none" w:sz="0" w:space="0" w:color="auto"/>
        <w:right w:val="none" w:sz="0" w:space="0" w:color="auto"/>
      </w:divBdr>
    </w:div>
    <w:div w:id="981929794">
      <w:bodyDiv w:val="1"/>
      <w:marLeft w:val="0"/>
      <w:marRight w:val="0"/>
      <w:marTop w:val="0"/>
      <w:marBottom w:val="0"/>
      <w:divBdr>
        <w:top w:val="none" w:sz="0" w:space="0" w:color="auto"/>
        <w:left w:val="none" w:sz="0" w:space="0" w:color="auto"/>
        <w:bottom w:val="none" w:sz="0" w:space="0" w:color="auto"/>
        <w:right w:val="none" w:sz="0" w:space="0" w:color="auto"/>
      </w:divBdr>
    </w:div>
    <w:div w:id="991132016">
      <w:bodyDiv w:val="1"/>
      <w:marLeft w:val="0"/>
      <w:marRight w:val="0"/>
      <w:marTop w:val="0"/>
      <w:marBottom w:val="0"/>
      <w:divBdr>
        <w:top w:val="none" w:sz="0" w:space="0" w:color="auto"/>
        <w:left w:val="none" w:sz="0" w:space="0" w:color="auto"/>
        <w:bottom w:val="none" w:sz="0" w:space="0" w:color="auto"/>
        <w:right w:val="none" w:sz="0" w:space="0" w:color="auto"/>
      </w:divBdr>
      <w:divsChild>
        <w:div w:id="1207450152">
          <w:marLeft w:val="0"/>
          <w:marRight w:val="0"/>
          <w:marTop w:val="0"/>
          <w:marBottom w:val="0"/>
          <w:divBdr>
            <w:top w:val="none" w:sz="0" w:space="0" w:color="auto"/>
            <w:left w:val="none" w:sz="0" w:space="0" w:color="auto"/>
            <w:bottom w:val="none" w:sz="0" w:space="0" w:color="auto"/>
            <w:right w:val="none" w:sz="0" w:space="0" w:color="auto"/>
          </w:divBdr>
        </w:div>
      </w:divsChild>
    </w:div>
    <w:div w:id="993069843">
      <w:bodyDiv w:val="1"/>
      <w:marLeft w:val="0"/>
      <w:marRight w:val="0"/>
      <w:marTop w:val="0"/>
      <w:marBottom w:val="0"/>
      <w:divBdr>
        <w:top w:val="none" w:sz="0" w:space="0" w:color="auto"/>
        <w:left w:val="none" w:sz="0" w:space="0" w:color="auto"/>
        <w:bottom w:val="none" w:sz="0" w:space="0" w:color="auto"/>
        <w:right w:val="none" w:sz="0" w:space="0" w:color="auto"/>
      </w:divBdr>
    </w:div>
    <w:div w:id="1025406531">
      <w:bodyDiv w:val="1"/>
      <w:marLeft w:val="0"/>
      <w:marRight w:val="0"/>
      <w:marTop w:val="0"/>
      <w:marBottom w:val="0"/>
      <w:divBdr>
        <w:top w:val="none" w:sz="0" w:space="0" w:color="auto"/>
        <w:left w:val="none" w:sz="0" w:space="0" w:color="auto"/>
        <w:bottom w:val="none" w:sz="0" w:space="0" w:color="auto"/>
        <w:right w:val="none" w:sz="0" w:space="0" w:color="auto"/>
      </w:divBdr>
    </w:div>
    <w:div w:id="1087968230">
      <w:bodyDiv w:val="1"/>
      <w:marLeft w:val="0"/>
      <w:marRight w:val="0"/>
      <w:marTop w:val="0"/>
      <w:marBottom w:val="0"/>
      <w:divBdr>
        <w:top w:val="none" w:sz="0" w:space="0" w:color="auto"/>
        <w:left w:val="none" w:sz="0" w:space="0" w:color="auto"/>
        <w:bottom w:val="none" w:sz="0" w:space="0" w:color="auto"/>
        <w:right w:val="none" w:sz="0" w:space="0" w:color="auto"/>
      </w:divBdr>
    </w:div>
    <w:div w:id="1208495166">
      <w:bodyDiv w:val="1"/>
      <w:marLeft w:val="0"/>
      <w:marRight w:val="0"/>
      <w:marTop w:val="0"/>
      <w:marBottom w:val="0"/>
      <w:divBdr>
        <w:top w:val="none" w:sz="0" w:space="0" w:color="auto"/>
        <w:left w:val="none" w:sz="0" w:space="0" w:color="auto"/>
        <w:bottom w:val="none" w:sz="0" w:space="0" w:color="auto"/>
        <w:right w:val="none" w:sz="0" w:space="0" w:color="auto"/>
      </w:divBdr>
    </w:div>
    <w:div w:id="1406415720">
      <w:bodyDiv w:val="1"/>
      <w:marLeft w:val="0"/>
      <w:marRight w:val="0"/>
      <w:marTop w:val="0"/>
      <w:marBottom w:val="0"/>
      <w:divBdr>
        <w:top w:val="none" w:sz="0" w:space="0" w:color="auto"/>
        <w:left w:val="none" w:sz="0" w:space="0" w:color="auto"/>
        <w:bottom w:val="none" w:sz="0" w:space="0" w:color="auto"/>
        <w:right w:val="none" w:sz="0" w:space="0" w:color="auto"/>
      </w:divBdr>
    </w:div>
    <w:div w:id="1592277451">
      <w:bodyDiv w:val="1"/>
      <w:marLeft w:val="0"/>
      <w:marRight w:val="0"/>
      <w:marTop w:val="0"/>
      <w:marBottom w:val="0"/>
      <w:divBdr>
        <w:top w:val="none" w:sz="0" w:space="0" w:color="auto"/>
        <w:left w:val="none" w:sz="0" w:space="0" w:color="auto"/>
        <w:bottom w:val="none" w:sz="0" w:space="0" w:color="auto"/>
        <w:right w:val="none" w:sz="0" w:space="0" w:color="auto"/>
      </w:divBdr>
    </w:div>
    <w:div w:id="1670864690">
      <w:bodyDiv w:val="1"/>
      <w:marLeft w:val="0"/>
      <w:marRight w:val="0"/>
      <w:marTop w:val="0"/>
      <w:marBottom w:val="0"/>
      <w:divBdr>
        <w:top w:val="none" w:sz="0" w:space="0" w:color="auto"/>
        <w:left w:val="none" w:sz="0" w:space="0" w:color="auto"/>
        <w:bottom w:val="none" w:sz="0" w:space="0" w:color="auto"/>
        <w:right w:val="none" w:sz="0" w:space="0" w:color="auto"/>
      </w:divBdr>
    </w:div>
    <w:div w:id="19487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neighbourhood-enlargement/sites/near/files/visibility_requirements-near_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neighbourhood-enlargement/sites/near/files/visibility_requirements-near_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zardouswm.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hazardouswm.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A69E95-B8C6-43FD-99F7-10C26BC2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10187</Words>
  <Characters>58068</Characters>
  <Application>Microsoft Office Word</Application>
  <DocSecurity>0</DocSecurity>
  <Lines>483</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SAMY</cp:lastModifiedBy>
  <cp:revision>43</cp:revision>
  <dcterms:created xsi:type="dcterms:W3CDTF">2021-05-14T07:03:00Z</dcterms:created>
  <dcterms:modified xsi:type="dcterms:W3CDTF">2022-06-04T11:40:00Z</dcterms:modified>
</cp:coreProperties>
</file>